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D2B" w:rsidRDefault="00157D2B" w:rsidP="00157D2B">
      <w:pPr>
        <w:pStyle w:val="Szvegtrzs"/>
        <w:spacing w:before="240" w:after="480" w:line="240" w:lineRule="auto"/>
        <w:jc w:val="center"/>
        <w:rPr>
          <w:b/>
          <w:bCs/>
        </w:rPr>
      </w:pPr>
      <w:r>
        <w:rPr>
          <w:b/>
          <w:bCs/>
        </w:rPr>
        <w:t>a képviselő-testület és szervei Szervezeti és Működési Szabályzatáról szóló 1/2013 (II.06.) számú önkormányzati rendelet módosításáról</w:t>
      </w:r>
    </w:p>
    <w:p w:rsidR="00157D2B" w:rsidRDefault="00157D2B" w:rsidP="00157D2B">
      <w:pPr>
        <w:pStyle w:val="Szvegtrzs"/>
        <w:spacing w:before="220" w:after="0" w:line="240" w:lineRule="auto"/>
        <w:jc w:val="both"/>
      </w:pPr>
      <w:r>
        <w:t>Az Országgyűlés elismeri és védi a helyi választópolgárok közösségének önkormányzáshoz való jogát. Dunakeszi Város Önkormányzatának Képviselő-testülete alapelvként rögzíti, hogy döntései meghozatalakor a város polgárainak érdekeit szolgálja és tartja szem előtt. A Képviselő-testület kiemelt céljának tekinti, hogy olyan önszerveződésen alapuló helyi hatalomgyakorlás valósuljon meg, amelyben a lakosság szabadon, demokratikusan, széles körű nyilvánosság előtt zajló önkormányzati döntéshozatallal vesz részt a helyi ügyek intézésében. Az Alaptörvény 32. cikk (1) szakaszának d) pontja szerint, valamint a Magyarország helyi önkormányzatairól szóló 2011. évi CLXXXIX. törvény 53. § (1) bekezdésével kapott felhatalmazás alapján a helyi önkormányzat a helyi közügyek intézése körében törvény keretei között meghatározza szervezeti és működési rendjét. Mindezek figyelembevételével Dunakeszi Város Képviselő-testülete a következő rendeletet alkotja meg.</w:t>
      </w:r>
    </w:p>
    <w:p w:rsidR="00157D2B" w:rsidRDefault="00157D2B" w:rsidP="00157D2B">
      <w:pPr>
        <w:pStyle w:val="Szvegtrzs"/>
        <w:spacing w:before="240" w:after="240" w:line="240" w:lineRule="auto"/>
        <w:jc w:val="center"/>
        <w:rPr>
          <w:b/>
          <w:bCs/>
        </w:rPr>
      </w:pPr>
      <w:r>
        <w:rPr>
          <w:b/>
          <w:bCs/>
        </w:rPr>
        <w:t>1. §</w:t>
      </w:r>
    </w:p>
    <w:p w:rsidR="00157D2B" w:rsidRDefault="00157D2B" w:rsidP="00157D2B">
      <w:pPr>
        <w:pStyle w:val="Szvegtrzs"/>
        <w:spacing w:after="0" w:line="240" w:lineRule="auto"/>
        <w:jc w:val="both"/>
      </w:pPr>
      <w:r>
        <w:t>(1) A képviselő-testület és szervei Szervezeti és Működési Szabályzatáról szóló 1/2013. (II.06.) rendelet 67. § (1) bekezdés h) pontja helyébe a következő rendelkezés lép:</w:t>
      </w:r>
    </w:p>
    <w:p w:rsidR="00157D2B" w:rsidRDefault="00157D2B" w:rsidP="00157D2B">
      <w:pPr>
        <w:pStyle w:val="Szvegtrzs"/>
        <w:spacing w:before="240" w:after="0" w:line="240" w:lineRule="auto"/>
        <w:jc w:val="both"/>
        <w:rPr>
          <w:i/>
          <w:iCs/>
        </w:rPr>
      </w:pPr>
      <w:r>
        <w:rPr>
          <w:i/>
          <w:iCs/>
        </w:rPr>
        <w:t>(A Pénzügyi és Jogi Bizottság javaslatot tesz:)</w:t>
      </w:r>
    </w:p>
    <w:p w:rsidR="00157D2B" w:rsidRDefault="00157D2B" w:rsidP="00157D2B">
      <w:pPr>
        <w:pStyle w:val="Szvegtrzs"/>
        <w:spacing w:after="240" w:line="240" w:lineRule="auto"/>
        <w:ind w:left="580" w:hanging="560"/>
        <w:jc w:val="both"/>
      </w:pPr>
      <w:r>
        <w:t>„</w:t>
      </w:r>
      <w:r>
        <w:rPr>
          <w:i/>
          <w:iCs/>
        </w:rPr>
        <w:t>h)</w:t>
      </w:r>
      <w:r>
        <w:tab/>
      </w:r>
      <w:r>
        <w:rPr>
          <w:i/>
          <w:iCs/>
        </w:rPr>
        <w:t>a közúti jelzések elhelyezésére, fenntartására, eltávolítására, valamint a helyi utak forgalmára vonatkozóan,</w:t>
      </w:r>
      <w:r>
        <w:t>a Dunakeszi Város Önkormányzatának kezelésében lévő útszakaszokon az egyirányú forgalmi rend kialakítására, vagy megszüntetésére, egyirányú forgalmi rend esetén, annak irányának megváltoztatására, valamint övezetek létrehozására, vagy megszüntetésére, az építkezésekhez, vagy egyéb eseti munkavégzésekhez kapcsolódó ideiglenes forgalmi rendek kivételével.”</w:t>
      </w:r>
    </w:p>
    <w:p w:rsidR="00157D2B" w:rsidRDefault="00157D2B" w:rsidP="00157D2B">
      <w:pPr>
        <w:pStyle w:val="Szvegtrzs"/>
        <w:spacing w:before="240" w:after="0" w:line="240" w:lineRule="auto"/>
        <w:jc w:val="both"/>
      </w:pPr>
      <w:r>
        <w:t>(2) A képviselő-testület és szervei Szervezeti és Működési Szabályzatáról szóló 1/2013. (II.06.) rendelet 67. § (2) bekezdés e)–g) pontja helyébe a következő rendelkezések lépnek:</w:t>
      </w:r>
    </w:p>
    <w:p w:rsidR="00157D2B" w:rsidRDefault="00157D2B" w:rsidP="00157D2B">
      <w:pPr>
        <w:pStyle w:val="Szvegtrzs"/>
        <w:spacing w:before="240" w:after="0" w:line="240" w:lineRule="auto"/>
        <w:jc w:val="both"/>
        <w:rPr>
          <w:i/>
          <w:iCs/>
        </w:rPr>
      </w:pPr>
      <w:r>
        <w:rPr>
          <w:i/>
          <w:iCs/>
        </w:rPr>
        <w:t>(A Pénzügyi és Jogi Bizottság véleményezi:)</w:t>
      </w:r>
    </w:p>
    <w:p w:rsidR="00157D2B" w:rsidRDefault="00157D2B" w:rsidP="00157D2B">
      <w:pPr>
        <w:pStyle w:val="Szvegtrzs"/>
        <w:spacing w:after="0" w:line="240" w:lineRule="auto"/>
        <w:ind w:left="580" w:hanging="560"/>
        <w:jc w:val="both"/>
      </w:pPr>
      <w:r>
        <w:t>„</w:t>
      </w:r>
      <w:r>
        <w:rPr>
          <w:i/>
          <w:iCs/>
        </w:rPr>
        <w:t>e)</w:t>
      </w:r>
      <w:r>
        <w:tab/>
      </w:r>
      <w:r>
        <w:rPr>
          <w:i/>
          <w:iCs/>
        </w:rPr>
        <w:t xml:space="preserve">árubeszerzések esetén a nyertes pályázóról szóló döntési javaslatot nettó </w:t>
      </w:r>
      <w:r>
        <w:t>35</w:t>
      </w:r>
      <w:r>
        <w:rPr>
          <w:i/>
          <w:iCs/>
        </w:rPr>
        <w:t>.000.000 forintos szerződéses összeghatár felett,</w:t>
      </w:r>
    </w:p>
    <w:p w:rsidR="00157D2B" w:rsidRDefault="00157D2B" w:rsidP="00157D2B">
      <w:pPr>
        <w:pStyle w:val="Szvegtrzs"/>
        <w:spacing w:after="0" w:line="240" w:lineRule="auto"/>
        <w:ind w:left="580" w:hanging="560"/>
        <w:jc w:val="both"/>
      </w:pPr>
      <w:r>
        <w:rPr>
          <w:i/>
          <w:iCs/>
        </w:rPr>
        <w:t>f)</w:t>
      </w:r>
      <w:r>
        <w:tab/>
      </w:r>
      <w:r>
        <w:rPr>
          <w:i/>
          <w:iCs/>
        </w:rPr>
        <w:t xml:space="preserve">építési beruházások esetén a nyertes pályázóról szóló döntési javaslatot nettó </w:t>
      </w:r>
      <w:r>
        <w:t>58</w:t>
      </w:r>
      <w:r>
        <w:rPr>
          <w:i/>
          <w:iCs/>
        </w:rPr>
        <w:t>.000.000 forintos szerződéses összeghatár felett,</w:t>
      </w:r>
    </w:p>
    <w:p w:rsidR="00157D2B" w:rsidRDefault="00157D2B" w:rsidP="00157D2B">
      <w:pPr>
        <w:pStyle w:val="Szvegtrzs"/>
        <w:spacing w:after="240" w:line="240" w:lineRule="auto"/>
        <w:ind w:left="580" w:hanging="560"/>
        <w:jc w:val="both"/>
      </w:pPr>
      <w:r>
        <w:rPr>
          <w:i/>
          <w:iCs/>
        </w:rPr>
        <w:t>g)</w:t>
      </w:r>
      <w:r>
        <w:tab/>
      </w:r>
      <w:r>
        <w:rPr>
          <w:i/>
          <w:iCs/>
        </w:rPr>
        <w:t xml:space="preserve">szolgáltatás megrendelése esetén a nyertes pályázóról szóló döntési javaslatot nettó </w:t>
      </w:r>
      <w:r>
        <w:t>58</w:t>
      </w:r>
      <w:r>
        <w:rPr>
          <w:i/>
          <w:iCs/>
        </w:rPr>
        <w:t>.000.000 forintos szerződéses összeghatár felett,</w:t>
      </w:r>
      <w:r>
        <w:t>”</w:t>
      </w:r>
    </w:p>
    <w:p w:rsidR="00157D2B" w:rsidRDefault="00157D2B" w:rsidP="00157D2B">
      <w:pPr>
        <w:pStyle w:val="Szvegtrzs"/>
        <w:spacing w:before="240" w:after="0" w:line="240" w:lineRule="auto"/>
        <w:jc w:val="both"/>
      </w:pPr>
      <w:r>
        <w:t>(3) A képviselő-testület és szervei Szervezeti és Működési Szabályzatáról szóló 1/2013. (II.06.) rendelet 67. § (9) bekezdés a) és b) pontja helyébe a következő rendelkezések lépnek:</w:t>
      </w:r>
    </w:p>
    <w:p w:rsidR="00157D2B" w:rsidRDefault="00157D2B" w:rsidP="00157D2B">
      <w:pPr>
        <w:pStyle w:val="Szvegtrzs"/>
        <w:spacing w:before="240" w:after="0" w:line="240" w:lineRule="auto"/>
        <w:jc w:val="both"/>
        <w:rPr>
          <w:i/>
          <w:iCs/>
        </w:rPr>
      </w:pPr>
      <w:r>
        <w:rPr>
          <w:i/>
          <w:iCs/>
        </w:rPr>
        <w:t>(A Pénzügyi és Jogi Bizottság ellátja a Települési Értéktár Bizottság feladatait az alábbiak szerint:)</w:t>
      </w:r>
    </w:p>
    <w:p w:rsidR="00157D2B" w:rsidRDefault="00157D2B" w:rsidP="00157D2B">
      <w:pPr>
        <w:pStyle w:val="Szvegtrzs"/>
        <w:spacing w:after="0" w:line="240" w:lineRule="auto"/>
        <w:ind w:left="580" w:hanging="560"/>
        <w:jc w:val="both"/>
      </w:pPr>
      <w:r>
        <w:t>„</w:t>
      </w:r>
      <w:r>
        <w:rPr>
          <w:i/>
          <w:iCs/>
        </w:rPr>
        <w:t>a)</w:t>
      </w:r>
      <w:r>
        <w:tab/>
        <w:t>azonosítja a nemzeti értékeket, létrehozza a települési értéktárat és nyilvántartás céljából megküldi azt a Pest Vármegyei Önkormányzat részére;</w:t>
      </w:r>
    </w:p>
    <w:p w:rsidR="00157D2B" w:rsidRDefault="00157D2B" w:rsidP="00157D2B">
      <w:pPr>
        <w:pStyle w:val="Szvegtrzs"/>
        <w:spacing w:after="240" w:line="240" w:lineRule="auto"/>
        <w:ind w:left="580" w:hanging="560"/>
        <w:jc w:val="both"/>
      </w:pPr>
      <w:r>
        <w:rPr>
          <w:i/>
          <w:iCs/>
        </w:rPr>
        <w:t>b)</w:t>
      </w:r>
      <w:r>
        <w:tab/>
        <w:t>munkájába a döntés-előkészítés során amennyiben indokolt, bevonja a helyi, illetve vármegyei művelődési feladatellátás országos módszertani intézményét, továbbá értékek gyűjtésével, hasznosításával foglalkozó országos és területi illetékességű szakmai és civil szervezeteket;”</w:t>
      </w:r>
    </w:p>
    <w:p w:rsidR="00157D2B" w:rsidRDefault="00157D2B" w:rsidP="00157D2B">
      <w:pPr>
        <w:pStyle w:val="Szvegtrzs"/>
        <w:spacing w:before="240" w:after="0" w:line="240" w:lineRule="auto"/>
        <w:jc w:val="both"/>
      </w:pPr>
      <w:r>
        <w:lastRenderedPageBreak/>
        <w:t>(4) A képviselő-testület és szervei Szervezeti és Működési Szabályzatáról szóló 1/2013. (II.06.) rendelet 67. § (9) bekezdés f) pontja helyébe a következő rendelkezés lép:</w:t>
      </w:r>
    </w:p>
    <w:p w:rsidR="00157D2B" w:rsidRDefault="00157D2B" w:rsidP="00157D2B">
      <w:pPr>
        <w:pStyle w:val="Szvegtrzs"/>
        <w:spacing w:before="240" w:after="0" w:line="240" w:lineRule="auto"/>
        <w:jc w:val="both"/>
        <w:rPr>
          <w:i/>
          <w:iCs/>
        </w:rPr>
      </w:pPr>
      <w:r>
        <w:rPr>
          <w:i/>
          <w:iCs/>
        </w:rPr>
        <w:t>(A Pénzügyi és Jogi Bizottság ellátja a Települési Értéktár Bizottság feladatait az alábbiak szerint:)</w:t>
      </w:r>
    </w:p>
    <w:p w:rsidR="00157D2B" w:rsidRDefault="00157D2B" w:rsidP="00157D2B">
      <w:pPr>
        <w:pStyle w:val="Szvegtrzs"/>
        <w:spacing w:after="240" w:line="240" w:lineRule="auto"/>
        <w:ind w:left="580" w:hanging="560"/>
        <w:jc w:val="both"/>
      </w:pPr>
      <w:r>
        <w:t>„</w:t>
      </w:r>
      <w:r>
        <w:rPr>
          <w:i/>
          <w:iCs/>
        </w:rPr>
        <w:t>f)</w:t>
      </w:r>
      <w:r>
        <w:tab/>
        <w:t>Amennyiben a Bizottság felveszi az adott nemzeti értéket a Dunakeszi Települési Értéktárba, erről tájékoztatja a Pest Vármegyei Értéktárat és a Hungarikum Bizottságot, illetve ezzel egyidejűleg nyilatkozik arról, hogy a nemzeti érték felvételét javasolja-e a vármegyei vagy a Magyar Értéktárba.”</w:t>
      </w:r>
    </w:p>
    <w:p w:rsidR="00157D2B" w:rsidRDefault="00157D2B" w:rsidP="00157D2B">
      <w:pPr>
        <w:pStyle w:val="Szvegtrzs"/>
        <w:spacing w:before="240" w:after="240" w:line="240" w:lineRule="auto"/>
        <w:jc w:val="center"/>
        <w:rPr>
          <w:b/>
          <w:bCs/>
        </w:rPr>
      </w:pPr>
      <w:r>
        <w:rPr>
          <w:b/>
          <w:bCs/>
        </w:rPr>
        <w:t>2. §</w:t>
      </w:r>
    </w:p>
    <w:p w:rsidR="00157D2B" w:rsidRDefault="00157D2B" w:rsidP="00157D2B">
      <w:pPr>
        <w:pStyle w:val="Szvegtrzs"/>
        <w:spacing w:after="0" w:line="240" w:lineRule="auto"/>
        <w:jc w:val="both"/>
      </w:pPr>
      <w:r>
        <w:t>(1) A képviselő-testület és szervei Szervezeti és Működési Szabályzatáról szóló 1/2013. (II.06.) rendelet 89. § (1) bekezdés 7. pontja helyébe a következő rendelkezés lép:</w:t>
      </w:r>
    </w:p>
    <w:p w:rsidR="00157D2B" w:rsidRDefault="00157D2B" w:rsidP="00157D2B">
      <w:pPr>
        <w:pStyle w:val="Szvegtrzs"/>
        <w:spacing w:before="240" w:after="0" w:line="240" w:lineRule="auto"/>
        <w:jc w:val="both"/>
        <w:rPr>
          <w:i/>
          <w:iCs/>
        </w:rPr>
      </w:pPr>
      <w:r>
        <w:rPr>
          <w:i/>
          <w:iCs/>
        </w:rPr>
        <w:t>(A polgármester dönt:)</w:t>
      </w:r>
    </w:p>
    <w:p w:rsidR="00157D2B" w:rsidRDefault="00157D2B" w:rsidP="00157D2B">
      <w:pPr>
        <w:pStyle w:val="Szvegtrzs"/>
        <w:spacing w:after="240" w:line="240" w:lineRule="auto"/>
        <w:ind w:left="580" w:hanging="560"/>
        <w:jc w:val="both"/>
      </w:pPr>
      <w:r>
        <w:t>„</w:t>
      </w:r>
      <w:r>
        <w:rPr>
          <w:i/>
          <w:iCs/>
        </w:rPr>
        <w:t>7.</w:t>
      </w:r>
      <w:r>
        <w:tab/>
        <w:t>bármely vagyontárgy tulajdonjogának, illetve vagyoni értékű jognak az Önkormányzat részére történő ingyenes megszerzéséről, továbbá bármely vagyontárgy, vagyoni értékű jog az Önkormányzat által történő kedvezményes megszerzéséről, amennyiben az Önkormányzat által a vagyontárgy, vagyoni értékű jog megszerzéséért fizetendő összeg nem haladja meg a 70 millió forintot,”</w:t>
      </w:r>
    </w:p>
    <w:p w:rsidR="00157D2B" w:rsidRDefault="00157D2B" w:rsidP="00157D2B">
      <w:pPr>
        <w:pStyle w:val="Szvegtrzs"/>
        <w:spacing w:before="240" w:after="0" w:line="240" w:lineRule="auto"/>
        <w:jc w:val="both"/>
      </w:pPr>
      <w:r>
        <w:t>(2) A képviselő-testület és szervei Szervezeti és Működési Szabályzatáról szóló 1/2013. (II.06.) rendelet 89. § (1) bekezdés 12–14. pontja helyébe a következő rendelkezések lépnek:</w:t>
      </w:r>
    </w:p>
    <w:p w:rsidR="00157D2B" w:rsidRDefault="00157D2B" w:rsidP="00157D2B">
      <w:pPr>
        <w:pStyle w:val="Szvegtrzs"/>
        <w:spacing w:before="240" w:after="0" w:line="240" w:lineRule="auto"/>
        <w:jc w:val="both"/>
        <w:rPr>
          <w:i/>
          <w:iCs/>
        </w:rPr>
      </w:pPr>
      <w:r>
        <w:rPr>
          <w:i/>
          <w:iCs/>
        </w:rPr>
        <w:t>(A polgármester dönt:)</w:t>
      </w:r>
    </w:p>
    <w:p w:rsidR="00157D2B" w:rsidRDefault="00157D2B" w:rsidP="00157D2B">
      <w:pPr>
        <w:pStyle w:val="Szvegtrzs"/>
        <w:spacing w:after="0" w:line="240" w:lineRule="auto"/>
        <w:ind w:left="580" w:hanging="560"/>
        <w:jc w:val="both"/>
      </w:pPr>
      <w:r>
        <w:t>„</w:t>
      </w:r>
      <w:r>
        <w:rPr>
          <w:i/>
          <w:iCs/>
        </w:rPr>
        <w:t>12.</w:t>
      </w:r>
      <w:r>
        <w:tab/>
        <w:t>a piaci áron az önkormányzat tulajdonába kerülő bármely ingó vagy ingóság, vagy vagyoni értékű jog megszerzéséről 70 millió Ft értékhatárig.</w:t>
      </w:r>
    </w:p>
    <w:p w:rsidR="00157D2B" w:rsidRDefault="00157D2B" w:rsidP="00157D2B">
      <w:pPr>
        <w:pStyle w:val="Szvegtrzs"/>
        <w:spacing w:after="0" w:line="240" w:lineRule="auto"/>
        <w:ind w:left="580" w:hanging="560"/>
        <w:jc w:val="both"/>
      </w:pPr>
      <w:r>
        <w:rPr>
          <w:i/>
          <w:iCs/>
        </w:rPr>
        <w:t>13.</w:t>
      </w:r>
      <w:r>
        <w:tab/>
        <w:t>az önkormányzat üzleti vagyonába tartozó vagyontárgyak, vagyoni értékű jogok elidegenítéséről, megterheléséről 70 millió forint értékhatárig,</w:t>
      </w:r>
    </w:p>
    <w:p w:rsidR="00157D2B" w:rsidRDefault="00157D2B" w:rsidP="00157D2B">
      <w:pPr>
        <w:pStyle w:val="Szvegtrzs"/>
        <w:spacing w:after="240" w:line="240" w:lineRule="auto"/>
        <w:ind w:left="580" w:hanging="560"/>
        <w:jc w:val="both"/>
      </w:pPr>
      <w:r>
        <w:rPr>
          <w:i/>
          <w:iCs/>
        </w:rPr>
        <w:t>14.</w:t>
      </w:r>
      <w:r>
        <w:tab/>
        <w:t>az önkormányzati vagyontárgyak, vagyoni értékű jogok határozatlan időre, vagy legfeljebb 3 évre, piaci áron történő bérbe adásáról, használatba adásáról, egyéb hasznosításáról 12 millió forint/év szerződéses értékhatárig”</w:t>
      </w:r>
    </w:p>
    <w:p w:rsidR="00157D2B" w:rsidRDefault="00157D2B" w:rsidP="00157D2B">
      <w:pPr>
        <w:pStyle w:val="Szvegtrzs"/>
        <w:spacing w:before="240" w:after="0" w:line="240" w:lineRule="auto"/>
        <w:jc w:val="both"/>
      </w:pPr>
      <w:r>
        <w:t>(3) A képviselő-testület és szervei Szervezeti és Működési Szabályzatáról szóló 1/2013. (II.06.) rendelet 89. § (1) bekezdés 21. pontja helyébe a következő rendelkezés lép:</w:t>
      </w:r>
    </w:p>
    <w:p w:rsidR="00157D2B" w:rsidRDefault="00157D2B" w:rsidP="00157D2B">
      <w:pPr>
        <w:pStyle w:val="Szvegtrzs"/>
        <w:spacing w:before="240" w:after="0" w:line="240" w:lineRule="auto"/>
        <w:jc w:val="both"/>
        <w:rPr>
          <w:i/>
          <w:iCs/>
        </w:rPr>
      </w:pPr>
      <w:r>
        <w:rPr>
          <w:i/>
          <w:iCs/>
        </w:rPr>
        <w:t>(A polgármester dönt:)</w:t>
      </w:r>
    </w:p>
    <w:p w:rsidR="00157D2B" w:rsidRDefault="00157D2B" w:rsidP="00157D2B">
      <w:pPr>
        <w:pStyle w:val="Szvegtrzs"/>
        <w:spacing w:after="240" w:line="240" w:lineRule="auto"/>
        <w:ind w:left="580" w:hanging="560"/>
        <w:jc w:val="both"/>
      </w:pPr>
      <w:r>
        <w:t>„</w:t>
      </w:r>
      <w:r>
        <w:rPr>
          <w:i/>
          <w:iCs/>
        </w:rPr>
        <w:t>21.</w:t>
      </w:r>
      <w:r>
        <w:tab/>
      </w:r>
      <w:r>
        <w:rPr>
          <w:i/>
          <w:iCs/>
        </w:rPr>
        <w:t>A Pénzügyi és Jogi Bizottság javaslata alapján a közúti jelzések elhelyezéséről, fenntartásáról, eltávolításáról, a helyi utak forgalmára vonatkozóan,</w:t>
      </w:r>
      <w:r>
        <w:t>a Dunakeszi Város Önkormányzatának kezelésében lévő útszakaszokon az egyirányú forgalmi rend kialakításáról, vagy megszüntetéséről, egyirányú forgalmi rend esetén, annak irányának megváltoztatásáról, valamint övezetek létrehozásáról, vagy megszüntetéséről, az építkezésekhez, vagy egyéb eseti munkavégzésekhez kapcsolódó ideiglenes forgalmi rendek kivételével.”</w:t>
      </w:r>
    </w:p>
    <w:p w:rsidR="00157D2B" w:rsidRDefault="00157D2B" w:rsidP="00157D2B">
      <w:pPr>
        <w:pStyle w:val="Szvegtrzs"/>
        <w:spacing w:before="240" w:after="0" w:line="240" w:lineRule="auto"/>
        <w:jc w:val="both"/>
      </w:pPr>
      <w:r>
        <w:t>(4) A képviselő-testület és szervei Szervezeti és Működési Szabályzatáról szóló 1/2013. (II.06.) rendelet 89. § (1) bekezdés 39. és 40. pontja helyébe a következő rendelkezések lépnek:</w:t>
      </w:r>
    </w:p>
    <w:p w:rsidR="00157D2B" w:rsidRDefault="00157D2B" w:rsidP="00157D2B">
      <w:pPr>
        <w:pStyle w:val="Szvegtrzs"/>
        <w:spacing w:before="240" w:after="0" w:line="240" w:lineRule="auto"/>
        <w:jc w:val="both"/>
        <w:rPr>
          <w:i/>
          <w:iCs/>
        </w:rPr>
      </w:pPr>
      <w:r>
        <w:rPr>
          <w:i/>
          <w:iCs/>
        </w:rPr>
        <w:t>(A polgármester dönt:)</w:t>
      </w:r>
    </w:p>
    <w:p w:rsidR="00157D2B" w:rsidRDefault="00157D2B" w:rsidP="00157D2B">
      <w:pPr>
        <w:pStyle w:val="Szvegtrzs"/>
        <w:spacing w:after="0" w:line="240" w:lineRule="auto"/>
        <w:ind w:left="580" w:hanging="560"/>
        <w:jc w:val="both"/>
      </w:pPr>
      <w:r>
        <w:t>„</w:t>
      </w:r>
      <w:r>
        <w:rPr>
          <w:i/>
          <w:iCs/>
        </w:rPr>
        <w:t>39.</w:t>
      </w:r>
      <w:r>
        <w:tab/>
        <w:t>a magyar építészetről szóló törvényben meghatározott településkép-érvényesítési eszközök érvényesítésében.</w:t>
      </w:r>
    </w:p>
    <w:p w:rsidR="00157D2B" w:rsidRDefault="00157D2B" w:rsidP="00157D2B">
      <w:pPr>
        <w:pStyle w:val="Szvegtrzs"/>
        <w:spacing w:after="240" w:line="240" w:lineRule="auto"/>
        <w:ind w:left="580" w:hanging="560"/>
        <w:jc w:val="both"/>
      </w:pPr>
      <w:r>
        <w:rPr>
          <w:i/>
          <w:iCs/>
        </w:rPr>
        <w:lastRenderedPageBreak/>
        <w:t>40.</w:t>
      </w:r>
      <w:r>
        <w:tab/>
        <w:t>közterületi parkolóhely bérleti szerződések megkötéséről, melyről félévente beszámol a Pénzügyi és Jogi Bizottságnak.”</w:t>
      </w:r>
    </w:p>
    <w:p w:rsidR="00157D2B" w:rsidRDefault="00157D2B" w:rsidP="00157D2B">
      <w:pPr>
        <w:pStyle w:val="Szvegtrzs"/>
        <w:spacing w:before="240" w:after="0" w:line="240" w:lineRule="auto"/>
        <w:jc w:val="both"/>
      </w:pPr>
      <w:r>
        <w:t>(5) A képviselő-testület és szervei Szervezeti és Működési Szabályzatáról szóló 1/2013. (II.06.) rendelet 89. § (2) bekezdés 1. pont a)–c) alpontja helyébe a következő rendelkezések lépnek:</w:t>
      </w:r>
    </w:p>
    <w:p w:rsidR="00157D2B" w:rsidRDefault="00157D2B" w:rsidP="00157D2B">
      <w:pPr>
        <w:pStyle w:val="Szvegtrzs"/>
        <w:spacing w:before="240" w:after="0" w:line="240" w:lineRule="auto"/>
        <w:jc w:val="both"/>
        <w:rPr>
          <w:i/>
          <w:iCs/>
        </w:rPr>
      </w:pPr>
      <w:r>
        <w:rPr>
          <w:i/>
          <w:iCs/>
        </w:rPr>
        <w:t>[A polgármester beszerzésekkel-közbeszerzésekkel kapcsolatosan – a 89. § (1) bekezdésének 7. pontjában foglaltaktól eltérően:</w:t>
      </w:r>
      <w:r>
        <w:rPr>
          <w:i/>
          <w:iCs/>
        </w:rPr>
        <w:tab/>
        <w:t xml:space="preserve"> </w:t>
      </w:r>
      <w:r>
        <w:rPr>
          <w:i/>
          <w:iCs/>
        </w:rPr>
        <w:br/>
        <w:t>Saját hatáskörében dönt:]</w:t>
      </w:r>
    </w:p>
    <w:p w:rsidR="00157D2B" w:rsidRDefault="00157D2B" w:rsidP="00157D2B">
      <w:pPr>
        <w:pStyle w:val="Szvegtrzs"/>
        <w:spacing w:after="0" w:line="240" w:lineRule="auto"/>
        <w:ind w:left="980" w:hanging="400"/>
        <w:jc w:val="both"/>
      </w:pPr>
      <w:r>
        <w:t>„</w:t>
      </w:r>
      <w:r>
        <w:rPr>
          <w:i/>
          <w:iCs/>
        </w:rPr>
        <w:t>a)</w:t>
      </w:r>
      <w:r>
        <w:tab/>
        <w:t>az árubeszerzésekről, nettó 35.000.000 forint szerződéses összeghatárig, beleértve a törvényben előírt közbeszerzési eljárás lefolytatását, értékelését és a nyertes pályázó személyének kiválasztását.</w:t>
      </w:r>
    </w:p>
    <w:p w:rsidR="00157D2B" w:rsidRDefault="00157D2B" w:rsidP="00157D2B">
      <w:pPr>
        <w:pStyle w:val="Szvegtrzs"/>
        <w:spacing w:after="0" w:line="240" w:lineRule="auto"/>
        <w:ind w:left="980" w:hanging="400"/>
        <w:jc w:val="both"/>
      </w:pPr>
      <w:r>
        <w:rPr>
          <w:i/>
          <w:iCs/>
        </w:rPr>
        <w:t>b)</w:t>
      </w:r>
      <w:r>
        <w:tab/>
        <w:t>az építési beruházásokról, nettó 58.000.000 forint szerződéses összeghatárig, beleértve a törvényben előírt közbeszerzési eljárás lefolytatását, értékelését és a nyertes pályázó személyének kiválasztását.</w:t>
      </w:r>
    </w:p>
    <w:p w:rsidR="00157D2B" w:rsidRDefault="00157D2B" w:rsidP="00157D2B">
      <w:pPr>
        <w:pStyle w:val="Szvegtrzs"/>
        <w:spacing w:after="240" w:line="240" w:lineRule="auto"/>
        <w:ind w:left="980" w:hanging="400"/>
        <w:jc w:val="both"/>
      </w:pPr>
      <w:r>
        <w:rPr>
          <w:i/>
          <w:iCs/>
        </w:rPr>
        <w:t>c)</w:t>
      </w:r>
      <w:r>
        <w:tab/>
        <w:t>szolgáltatás megrendeléséről, nettó 58.000.000 forint szerződéses összeghatárig, beleértve a törvényben előírt közbeszerzési eljárás lefolytatását, értékelését és a nyertes pályázó személyének kiválasztását.”</w:t>
      </w:r>
    </w:p>
    <w:p w:rsidR="00157D2B" w:rsidRDefault="00157D2B" w:rsidP="00157D2B">
      <w:pPr>
        <w:pStyle w:val="Szvegtrzs"/>
        <w:spacing w:before="240" w:after="0" w:line="240" w:lineRule="auto"/>
        <w:jc w:val="both"/>
      </w:pPr>
      <w:r>
        <w:t>(6) A képviselő-testület és szervei Szervezeti és Működési Szabályzatáról szóló 1/2013. (II.06.) rendelet 89. § (2) bekezdés 2. pont a)–c) alpontja helyébe a következő rendelkezések lépnek:</w:t>
      </w:r>
    </w:p>
    <w:p w:rsidR="00157D2B" w:rsidRDefault="00157D2B" w:rsidP="00157D2B">
      <w:pPr>
        <w:pStyle w:val="Szvegtrzs"/>
        <w:spacing w:before="240" w:after="0" w:line="240" w:lineRule="auto"/>
        <w:jc w:val="both"/>
        <w:rPr>
          <w:i/>
          <w:iCs/>
        </w:rPr>
      </w:pPr>
      <w:r>
        <w:rPr>
          <w:i/>
          <w:iCs/>
        </w:rPr>
        <w:t>[A polgármester beszerzésekkel-közbeszerzésekkel kapcsolatosan – a 89. § (1) bekezdésének 7. pontjában foglaltaktól eltérően:</w:t>
      </w:r>
      <w:r>
        <w:rPr>
          <w:i/>
          <w:iCs/>
        </w:rPr>
        <w:tab/>
        <w:t xml:space="preserve"> </w:t>
      </w:r>
      <w:r>
        <w:rPr>
          <w:i/>
          <w:iCs/>
        </w:rPr>
        <w:br/>
        <w:t>A hatáskörrel rendelkező bizottság véleményének kikérése után dönt:]</w:t>
      </w:r>
    </w:p>
    <w:p w:rsidR="00157D2B" w:rsidRDefault="00157D2B" w:rsidP="00157D2B">
      <w:pPr>
        <w:pStyle w:val="Szvegtrzs"/>
        <w:spacing w:after="0" w:line="240" w:lineRule="auto"/>
        <w:ind w:left="980" w:hanging="400"/>
        <w:jc w:val="both"/>
      </w:pPr>
      <w:r>
        <w:t>„</w:t>
      </w:r>
      <w:r>
        <w:rPr>
          <w:i/>
          <w:iCs/>
        </w:rPr>
        <w:t>a)</w:t>
      </w:r>
      <w:r>
        <w:tab/>
        <w:t>az árubeszerzésekről, nettó 35.000.001 forint – 70.000.000 forint szerződéses összeghatárig, beleértve a törvényben előírt közbeszerzési eljárás lefolytatását, értékelését és a nyertes pályázó személyének kiválasztását.</w:t>
      </w:r>
    </w:p>
    <w:p w:rsidR="00157D2B" w:rsidRDefault="00157D2B" w:rsidP="00157D2B">
      <w:pPr>
        <w:pStyle w:val="Szvegtrzs"/>
        <w:spacing w:after="0" w:line="240" w:lineRule="auto"/>
        <w:ind w:left="980" w:hanging="400"/>
        <w:jc w:val="both"/>
      </w:pPr>
      <w:r>
        <w:rPr>
          <w:i/>
          <w:iCs/>
        </w:rPr>
        <w:t>b)</w:t>
      </w:r>
      <w:r>
        <w:tab/>
        <w:t>az építési beruházásokról, nettó 58.000.001 forint – 208.000.000 forint szerződéses összeghatárig, beleértve a törvényben előírt közbeszerzési eljárás lefolytatását, értékelését és a nyertes pályázó személyének kiválasztását.</w:t>
      </w:r>
    </w:p>
    <w:p w:rsidR="00157D2B" w:rsidRDefault="00157D2B" w:rsidP="00157D2B">
      <w:pPr>
        <w:pStyle w:val="Szvegtrzs"/>
        <w:spacing w:after="240" w:line="240" w:lineRule="auto"/>
        <w:ind w:left="980" w:hanging="400"/>
        <w:jc w:val="both"/>
      </w:pPr>
      <w:r>
        <w:rPr>
          <w:i/>
          <w:iCs/>
        </w:rPr>
        <w:t>c)</w:t>
      </w:r>
      <w:r>
        <w:tab/>
        <w:t>szolgáltatás megrendeléséről, nettó 58.000.001 forint – 120.000.000 forint szerződéses összeghatárig, beleértve a törvényben előírt közbeszerzési eljárás lefolytatását, értékelését és a nyertes pályázó személyének kiválasztását.”</w:t>
      </w:r>
    </w:p>
    <w:p w:rsidR="00157D2B" w:rsidRDefault="00157D2B" w:rsidP="00157D2B">
      <w:pPr>
        <w:pStyle w:val="Szvegtrzs"/>
        <w:spacing w:before="240" w:after="0" w:line="240" w:lineRule="auto"/>
        <w:jc w:val="both"/>
      </w:pPr>
      <w:r>
        <w:t>(7) A képviselő-testület és szervei Szervezeti és Működési Szabályzatáról szóló 1/2013. (II.06.) rendelet 89. § (3) bekezdés 4. pontja helyébe a következő rendelkezés lép:</w:t>
      </w:r>
    </w:p>
    <w:p w:rsidR="00157D2B" w:rsidRDefault="00157D2B" w:rsidP="00157D2B">
      <w:pPr>
        <w:pStyle w:val="Szvegtrzs"/>
        <w:spacing w:before="240" w:after="0" w:line="240" w:lineRule="auto"/>
        <w:jc w:val="both"/>
        <w:rPr>
          <w:i/>
          <w:iCs/>
        </w:rPr>
      </w:pPr>
      <w:r>
        <w:rPr>
          <w:i/>
          <w:iCs/>
        </w:rPr>
        <w:t>(A polgármester engedélyezi:)</w:t>
      </w:r>
    </w:p>
    <w:p w:rsidR="00157D2B" w:rsidRDefault="00157D2B" w:rsidP="00157D2B">
      <w:pPr>
        <w:pStyle w:val="Szvegtrzs"/>
        <w:spacing w:after="240" w:line="240" w:lineRule="auto"/>
        <w:ind w:left="580" w:hanging="560"/>
        <w:jc w:val="both"/>
      </w:pPr>
      <w:r>
        <w:t>„</w:t>
      </w:r>
      <w:r>
        <w:rPr>
          <w:i/>
          <w:iCs/>
        </w:rPr>
        <w:t>4.</w:t>
      </w:r>
      <w:r>
        <w:tab/>
        <w:t>vármegyei térképészeti határ kiigazítását”</w:t>
      </w:r>
    </w:p>
    <w:p w:rsidR="00157D2B" w:rsidRDefault="00157D2B" w:rsidP="00157D2B">
      <w:pPr>
        <w:pStyle w:val="Szvegtrzs"/>
        <w:spacing w:before="240" w:after="240" w:line="240" w:lineRule="auto"/>
        <w:jc w:val="center"/>
        <w:rPr>
          <w:b/>
          <w:bCs/>
        </w:rPr>
      </w:pPr>
      <w:r>
        <w:rPr>
          <w:b/>
          <w:bCs/>
        </w:rPr>
        <w:t>3. §</w:t>
      </w:r>
    </w:p>
    <w:p w:rsidR="00157D2B" w:rsidRDefault="00157D2B" w:rsidP="00157D2B">
      <w:pPr>
        <w:pStyle w:val="Szvegtrzs"/>
        <w:spacing w:after="0" w:line="240" w:lineRule="auto"/>
        <w:jc w:val="both"/>
      </w:pPr>
      <w:r>
        <w:t>(1) A képviselő-testület és szervei Szervezeti és Működési Szabályzatáról szóló 1/2013. (II.06.) rendelet 90. § (6) bekezdése helyébe a következő rendelkezés lép:</w:t>
      </w:r>
    </w:p>
    <w:p w:rsidR="00157D2B" w:rsidRDefault="00157D2B" w:rsidP="00157D2B">
      <w:pPr>
        <w:pStyle w:val="Szvegtrzs"/>
        <w:spacing w:before="240" w:after="240" w:line="240" w:lineRule="auto"/>
        <w:jc w:val="both"/>
      </w:pPr>
      <w:r>
        <w:t>„(6) Indítványozza a 70 millió forint érték feletti vételi és elővásárlási jog gyakorlására, illetve az arról történő lemondásra irányuló testületi döntés meghozatalát, 70 millió forint érték alatt ugyanezen tárgykörökben önállóan dönt.”</w:t>
      </w:r>
    </w:p>
    <w:p w:rsidR="00157D2B" w:rsidRDefault="00157D2B" w:rsidP="00157D2B">
      <w:pPr>
        <w:pStyle w:val="Szvegtrzs"/>
        <w:spacing w:before="240" w:after="0" w:line="240" w:lineRule="auto"/>
        <w:jc w:val="both"/>
      </w:pPr>
      <w:r>
        <w:t>(2) A képviselő-testület és szervei Szervezeti és Működési Szabályzatáról szóló 1/2013. (II.06.) rendelet 90. § (8) bekezdése helyébe a következő rendelkezés lép:</w:t>
      </w:r>
    </w:p>
    <w:p w:rsidR="00157D2B" w:rsidRDefault="00157D2B" w:rsidP="00157D2B">
      <w:pPr>
        <w:pStyle w:val="Szvegtrzs"/>
        <w:spacing w:before="240" w:after="240" w:line="240" w:lineRule="auto"/>
        <w:jc w:val="both"/>
      </w:pPr>
      <w:r>
        <w:lastRenderedPageBreak/>
        <w:t>„(8) Elsőfokú hatóságként eljár a reklám és reklámhordozókra vonatkozóan a településkép védelméről szóló önkormányzati rendeletben foglalt hatósági hatáskörökben.”</w:t>
      </w:r>
    </w:p>
    <w:p w:rsidR="00157D2B" w:rsidRDefault="00157D2B" w:rsidP="00157D2B">
      <w:pPr>
        <w:pStyle w:val="Szvegtrzs"/>
        <w:spacing w:before="240" w:after="240" w:line="240" w:lineRule="auto"/>
        <w:jc w:val="center"/>
        <w:rPr>
          <w:b/>
          <w:bCs/>
        </w:rPr>
      </w:pPr>
      <w:r>
        <w:rPr>
          <w:b/>
          <w:bCs/>
        </w:rPr>
        <w:t>4. §</w:t>
      </w:r>
    </w:p>
    <w:p w:rsidR="00157D2B" w:rsidRDefault="00157D2B" w:rsidP="00157D2B">
      <w:pPr>
        <w:pStyle w:val="Szvegtrzs"/>
        <w:spacing w:after="0" w:line="240" w:lineRule="auto"/>
        <w:jc w:val="both"/>
      </w:pPr>
      <w:r>
        <w:t>A képviselő-testület és szervei Szervezeti és Működési Szabályzatáról szóló 1/2013. (II.06.) rendelet 91. § (9) és (10) bekezdése helyébe a következő rendelkezések lépnek:</w:t>
      </w:r>
    </w:p>
    <w:p w:rsidR="00157D2B" w:rsidRDefault="00157D2B" w:rsidP="00157D2B">
      <w:pPr>
        <w:pStyle w:val="Szvegtrzs"/>
        <w:spacing w:before="240" w:after="0" w:line="240" w:lineRule="auto"/>
        <w:jc w:val="both"/>
      </w:pPr>
      <w:r>
        <w:t>„(9) Hozzájárul a tulajdonosi nyilatkozat kiadásához, önkormányzati tulajdonú ingatlan bővítése és átalakítása esetén, ha az építési munkálatok az ingatlan értékének 20 %-át nem haladják meg, de maximum 70 millió forint értékhatárig</w:t>
      </w:r>
    </w:p>
    <w:p w:rsidR="00157D2B" w:rsidRDefault="00157D2B" w:rsidP="00157D2B">
      <w:pPr>
        <w:pStyle w:val="Szvegtrzs"/>
        <w:spacing w:before="240" w:after="240" w:line="240" w:lineRule="auto"/>
        <w:jc w:val="both"/>
      </w:pPr>
      <w:r>
        <w:t>(10) Kisajátítás esetében a pénzbeli kártalanítás összegéről megállapodást köt 70 millió forint értékhatárig, feltéve, ha a kért és a felajánlott összeg között maximum 30 % az eltérés. Ezen felüli összeg esetében a megállapodás a Képviselő-testület jóváhagyásával lép hatályba.”</w:t>
      </w:r>
    </w:p>
    <w:p w:rsidR="00157D2B" w:rsidRDefault="00157D2B" w:rsidP="00157D2B">
      <w:pPr>
        <w:pStyle w:val="Szvegtrzs"/>
        <w:spacing w:before="240" w:after="240" w:line="240" w:lineRule="auto"/>
        <w:jc w:val="center"/>
        <w:rPr>
          <w:b/>
          <w:bCs/>
        </w:rPr>
      </w:pPr>
      <w:r>
        <w:rPr>
          <w:b/>
          <w:bCs/>
        </w:rPr>
        <w:t>5. §</w:t>
      </w:r>
    </w:p>
    <w:p w:rsidR="00157D2B" w:rsidRDefault="00157D2B" w:rsidP="00157D2B">
      <w:pPr>
        <w:pStyle w:val="Szvegtrzs"/>
        <w:spacing w:after="0" w:line="240" w:lineRule="auto"/>
        <w:jc w:val="both"/>
      </w:pPr>
      <w:r>
        <w:t>(1) A képviselő-testület és szervei Szervezeti és Működési Szabályzatáról szóló 1/2013. (II.06.) rendelet 2. függeléke az 1. melléklet szerint módosul.</w:t>
      </w:r>
    </w:p>
    <w:p w:rsidR="00157D2B" w:rsidRDefault="00157D2B" w:rsidP="00157D2B">
      <w:pPr>
        <w:pStyle w:val="Szvegtrzs"/>
        <w:spacing w:before="240" w:after="0" w:line="240" w:lineRule="auto"/>
        <w:jc w:val="both"/>
      </w:pPr>
      <w:r>
        <w:t>(2) A képviselő-testület és szervei Szervezeti és Működési Szabályzatáról szóló 1/2013. (II.06.) rendelet 3. függeléke a 2. melléklet szerint módosul.</w:t>
      </w:r>
    </w:p>
    <w:p w:rsidR="00157D2B" w:rsidRDefault="00157D2B" w:rsidP="00157D2B">
      <w:pPr>
        <w:pStyle w:val="Szvegtrzs"/>
        <w:spacing w:before="240" w:after="240" w:line="240" w:lineRule="auto"/>
        <w:jc w:val="center"/>
        <w:rPr>
          <w:b/>
          <w:bCs/>
        </w:rPr>
      </w:pPr>
      <w:r>
        <w:rPr>
          <w:b/>
          <w:bCs/>
        </w:rPr>
        <w:t>6. §</w:t>
      </w:r>
    </w:p>
    <w:p w:rsidR="00157D2B" w:rsidRDefault="00157D2B" w:rsidP="00157D2B">
      <w:pPr>
        <w:pStyle w:val="Szvegtrzs"/>
        <w:spacing w:after="0" w:line="240" w:lineRule="auto"/>
        <w:jc w:val="both"/>
      </w:pPr>
      <w:r>
        <w:t>Ez a rendelet a kihirdetését követő napon lép hatályba, és a kihirdetését követő második napon hatályát veszti.</w:t>
      </w:r>
    </w:p>
    <w:p w:rsidR="00157D2B" w:rsidRPr="00C7556C" w:rsidRDefault="00157D2B" w:rsidP="00157D2B"/>
    <w:p w:rsidR="006D3EA5" w:rsidRPr="00157D2B" w:rsidRDefault="00157D2B" w:rsidP="00157D2B">
      <w:bookmarkStart w:id="0" w:name="_GoBack"/>
      <w:bookmarkEnd w:id="0"/>
    </w:p>
    <w:sectPr w:rsidR="006D3EA5" w:rsidRPr="00157D2B" w:rsidSect="00F26889">
      <w:footerReference w:type="default" r:id="rId5"/>
      <w:pgSz w:w="11906" w:h="16838"/>
      <w:pgMar w:top="1134" w:right="1418"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Liberation Sans">
    <w:altName w:val="Arial"/>
    <w:charset w:val="01"/>
    <w:family w:val="swiss"/>
    <w:pitch w:val="variable"/>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69A" w:rsidRDefault="00157D2B">
    <w:pPr>
      <w:pStyle w:val="llb"/>
      <w:jc w:val="center"/>
    </w:pPr>
    <w:r>
      <w:fldChar w:fldCharType="begin"/>
    </w:r>
    <w:r>
      <w:instrText xml:space="preserve"> PAGE   \* MERGEFORMAT </w:instrText>
    </w:r>
    <w:r>
      <w:fldChar w:fldCharType="separate"/>
    </w:r>
    <w:r>
      <w:rPr>
        <w:noProof/>
      </w:rPr>
      <w:t>1</w:t>
    </w:r>
    <w:r>
      <w:fldChar w:fldCharType="end"/>
    </w:r>
  </w:p>
  <w:p w:rsidR="00CF569A" w:rsidRDefault="00157D2B">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B58"/>
    <w:multiLevelType w:val="hybridMultilevel"/>
    <w:tmpl w:val="C582B620"/>
    <w:lvl w:ilvl="0" w:tplc="585E61DE">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16A8564F"/>
    <w:multiLevelType w:val="multilevel"/>
    <w:tmpl w:val="D416C5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8C2750"/>
    <w:multiLevelType w:val="multilevel"/>
    <w:tmpl w:val="D722BA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44747E5"/>
    <w:multiLevelType w:val="multilevel"/>
    <w:tmpl w:val="D3C48A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1F21D3E"/>
    <w:multiLevelType w:val="multilevel"/>
    <w:tmpl w:val="204ED5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2711A48"/>
    <w:multiLevelType w:val="multilevel"/>
    <w:tmpl w:val="D32A85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FAC069F"/>
    <w:multiLevelType w:val="multilevel"/>
    <w:tmpl w:val="5DC6FFC0"/>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6"/>
  </w:num>
  <w:num w:numId="3">
    <w:abstractNumId w:val="3"/>
  </w:num>
  <w:num w:numId="4">
    <w:abstractNumId w:val="1"/>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0A1"/>
    <w:rsid w:val="00046F8B"/>
    <w:rsid w:val="00157D2B"/>
    <w:rsid w:val="003100A1"/>
    <w:rsid w:val="00BE6DBD"/>
    <w:rsid w:val="00ED545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91EDF"/>
  <w15:chartTrackingRefBased/>
  <w15:docId w15:val="{BBE499FF-1582-41C8-82EB-123D5A5E3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D545B"/>
    <w:pPr>
      <w:suppressAutoHyphens/>
      <w:spacing w:after="0" w:line="240" w:lineRule="auto"/>
    </w:pPr>
    <w:rPr>
      <w:rFonts w:ascii="Times New Roman" w:eastAsia="Noto Sans CJK SC Regular" w:hAnsi="Times New Roman" w:cs="FreeSans"/>
      <w:kern w:val="2"/>
      <w:sz w:val="24"/>
      <w:szCs w:val="24"/>
      <w:lang w:eastAsia="zh-CN" w:bidi="hi-IN"/>
    </w:rPr>
  </w:style>
  <w:style w:type="paragraph" w:styleId="Cmsor1">
    <w:name w:val="heading 1"/>
    <w:basedOn w:val="Heading"/>
    <w:next w:val="Szvegtrzs"/>
    <w:link w:val="Cmsor1Char"/>
    <w:qFormat/>
    <w:rsid w:val="00ED545B"/>
    <w:pPr>
      <w:numPr>
        <w:numId w:val="2"/>
      </w:numPr>
      <w:outlineLvl w:val="0"/>
    </w:pPr>
    <w:rPr>
      <w:b/>
      <w:bCs/>
      <w:sz w:val="36"/>
      <w:szCs w:val="36"/>
    </w:rPr>
  </w:style>
  <w:style w:type="paragraph" w:styleId="Cmsor2">
    <w:name w:val="heading 2"/>
    <w:basedOn w:val="Heading"/>
    <w:next w:val="Szvegtrzs"/>
    <w:link w:val="Cmsor2Char"/>
    <w:qFormat/>
    <w:rsid w:val="00ED545B"/>
    <w:pPr>
      <w:numPr>
        <w:ilvl w:val="1"/>
        <w:numId w:val="2"/>
      </w:numPr>
      <w:spacing w:before="200"/>
      <w:outlineLvl w:val="1"/>
    </w:pPr>
    <w:rPr>
      <w:b/>
      <w:bCs/>
      <w:sz w:val="32"/>
      <w:szCs w:val="32"/>
    </w:rPr>
  </w:style>
  <w:style w:type="paragraph" w:styleId="Cmsor3">
    <w:name w:val="heading 3"/>
    <w:basedOn w:val="Heading"/>
    <w:next w:val="Szvegtrzs"/>
    <w:link w:val="Cmsor3Char"/>
    <w:qFormat/>
    <w:rsid w:val="00ED545B"/>
    <w:pPr>
      <w:numPr>
        <w:ilvl w:val="2"/>
        <w:numId w:val="2"/>
      </w:numPr>
      <w:spacing w:before="140"/>
      <w:outlineLvl w:val="2"/>
    </w:pPr>
    <w:rPr>
      <w:b/>
      <w:bCs/>
    </w:rPr>
  </w:style>
  <w:style w:type="paragraph" w:styleId="Cmsor4">
    <w:name w:val="heading 4"/>
    <w:basedOn w:val="Heading"/>
    <w:next w:val="Szvegtrzs"/>
    <w:link w:val="Cmsor4Char"/>
    <w:qFormat/>
    <w:rsid w:val="00ED545B"/>
    <w:pPr>
      <w:numPr>
        <w:ilvl w:val="3"/>
        <w:numId w:val="2"/>
      </w:numPr>
      <w:spacing w:before="120"/>
      <w:outlineLvl w:val="3"/>
    </w:pPr>
    <w:rPr>
      <w:b/>
      <w:bCs/>
      <w:i/>
      <w:iCs/>
      <w:sz w:val="27"/>
      <w:szCs w:val="27"/>
    </w:rPr>
  </w:style>
  <w:style w:type="paragraph" w:styleId="Cmsor5">
    <w:name w:val="heading 5"/>
    <w:basedOn w:val="Heading"/>
    <w:next w:val="Szvegtrzs"/>
    <w:link w:val="Cmsor5Char"/>
    <w:qFormat/>
    <w:rsid w:val="00ED545B"/>
    <w:pPr>
      <w:numPr>
        <w:ilvl w:val="4"/>
        <w:numId w:val="2"/>
      </w:numPr>
      <w:spacing w:before="120" w:after="60"/>
      <w:outlineLvl w:val="4"/>
    </w:pPr>
    <w:rPr>
      <w:b/>
      <w:bCs/>
      <w:sz w:val="24"/>
      <w:szCs w:val="24"/>
    </w:rPr>
  </w:style>
  <w:style w:type="paragraph" w:styleId="Cmsor6">
    <w:name w:val="heading 6"/>
    <w:basedOn w:val="Heading"/>
    <w:next w:val="Szvegtrzs"/>
    <w:link w:val="Cmsor6Char"/>
    <w:qFormat/>
    <w:rsid w:val="00ED545B"/>
    <w:pPr>
      <w:numPr>
        <w:ilvl w:val="5"/>
        <w:numId w:val="2"/>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nhideWhenUsed/>
    <w:rsid w:val="003100A1"/>
    <w:pPr>
      <w:tabs>
        <w:tab w:val="center" w:pos="4536"/>
        <w:tab w:val="right" w:pos="9072"/>
      </w:tabs>
    </w:pPr>
  </w:style>
  <w:style w:type="character" w:customStyle="1" w:styleId="llbChar">
    <w:name w:val="Élőláb Char"/>
    <w:basedOn w:val="Bekezdsalapbettpusa"/>
    <w:link w:val="llb"/>
    <w:uiPriority w:val="99"/>
    <w:semiHidden/>
    <w:rsid w:val="003100A1"/>
  </w:style>
  <w:style w:type="character" w:customStyle="1" w:styleId="Cmsor1Char">
    <w:name w:val="Címsor 1 Char"/>
    <w:basedOn w:val="Bekezdsalapbettpusa"/>
    <w:link w:val="Cmsor1"/>
    <w:rsid w:val="00ED545B"/>
    <w:rPr>
      <w:rFonts w:ascii="Liberation Sans" w:eastAsia="Noto Sans CJK SC Regular" w:hAnsi="Liberation Sans" w:cs="FreeSans"/>
      <w:b/>
      <w:bCs/>
      <w:kern w:val="2"/>
      <w:sz w:val="36"/>
      <w:szCs w:val="36"/>
      <w:lang w:eastAsia="zh-CN" w:bidi="hi-IN"/>
    </w:rPr>
  </w:style>
  <w:style w:type="character" w:customStyle="1" w:styleId="Cmsor2Char">
    <w:name w:val="Címsor 2 Char"/>
    <w:basedOn w:val="Bekezdsalapbettpusa"/>
    <w:link w:val="Cmsor2"/>
    <w:rsid w:val="00ED545B"/>
    <w:rPr>
      <w:rFonts w:ascii="Liberation Sans" w:eastAsia="Noto Sans CJK SC Regular" w:hAnsi="Liberation Sans" w:cs="FreeSans"/>
      <w:b/>
      <w:bCs/>
      <w:kern w:val="2"/>
      <w:sz w:val="32"/>
      <w:szCs w:val="32"/>
      <w:lang w:eastAsia="zh-CN" w:bidi="hi-IN"/>
    </w:rPr>
  </w:style>
  <w:style w:type="character" w:customStyle="1" w:styleId="Cmsor3Char">
    <w:name w:val="Címsor 3 Char"/>
    <w:basedOn w:val="Bekezdsalapbettpusa"/>
    <w:link w:val="Cmsor3"/>
    <w:rsid w:val="00ED545B"/>
    <w:rPr>
      <w:rFonts w:ascii="Liberation Sans" w:eastAsia="Noto Sans CJK SC Regular" w:hAnsi="Liberation Sans" w:cs="FreeSans"/>
      <w:b/>
      <w:bCs/>
      <w:kern w:val="2"/>
      <w:sz w:val="28"/>
      <w:szCs w:val="28"/>
      <w:lang w:eastAsia="zh-CN" w:bidi="hi-IN"/>
    </w:rPr>
  </w:style>
  <w:style w:type="character" w:customStyle="1" w:styleId="Cmsor4Char">
    <w:name w:val="Címsor 4 Char"/>
    <w:basedOn w:val="Bekezdsalapbettpusa"/>
    <w:link w:val="Cmsor4"/>
    <w:rsid w:val="00ED545B"/>
    <w:rPr>
      <w:rFonts w:ascii="Liberation Sans" w:eastAsia="Noto Sans CJK SC Regular" w:hAnsi="Liberation Sans" w:cs="FreeSans"/>
      <w:b/>
      <w:bCs/>
      <w:i/>
      <w:iCs/>
      <w:kern w:val="2"/>
      <w:sz w:val="27"/>
      <w:szCs w:val="27"/>
      <w:lang w:eastAsia="zh-CN" w:bidi="hi-IN"/>
    </w:rPr>
  </w:style>
  <w:style w:type="character" w:customStyle="1" w:styleId="Cmsor5Char">
    <w:name w:val="Címsor 5 Char"/>
    <w:basedOn w:val="Bekezdsalapbettpusa"/>
    <w:link w:val="Cmsor5"/>
    <w:rsid w:val="00ED545B"/>
    <w:rPr>
      <w:rFonts w:ascii="Liberation Sans" w:eastAsia="Noto Sans CJK SC Regular" w:hAnsi="Liberation Sans" w:cs="FreeSans"/>
      <w:b/>
      <w:bCs/>
      <w:kern w:val="2"/>
      <w:sz w:val="24"/>
      <w:szCs w:val="24"/>
      <w:lang w:eastAsia="zh-CN" w:bidi="hi-IN"/>
    </w:rPr>
  </w:style>
  <w:style w:type="character" w:customStyle="1" w:styleId="Cmsor6Char">
    <w:name w:val="Címsor 6 Char"/>
    <w:basedOn w:val="Bekezdsalapbettpusa"/>
    <w:link w:val="Cmsor6"/>
    <w:rsid w:val="00ED545B"/>
    <w:rPr>
      <w:rFonts w:ascii="Liberation Sans" w:eastAsia="Noto Sans CJK SC Regular" w:hAnsi="Liberation Sans" w:cs="FreeSans"/>
      <w:b/>
      <w:bCs/>
      <w:i/>
      <w:iCs/>
      <w:kern w:val="2"/>
      <w:sz w:val="24"/>
      <w:szCs w:val="24"/>
      <w:lang w:eastAsia="zh-CN" w:bidi="hi-IN"/>
    </w:rPr>
  </w:style>
  <w:style w:type="character" w:styleId="Hiperhivatkozs">
    <w:name w:val="Hyperlink"/>
    <w:rsid w:val="00ED545B"/>
    <w:rPr>
      <w:color w:val="000080"/>
      <w:u w:val="single"/>
    </w:rPr>
  </w:style>
  <w:style w:type="character" w:styleId="Mrltotthiperhivatkozs">
    <w:name w:val="FollowedHyperlink"/>
    <w:rsid w:val="00ED545B"/>
    <w:rPr>
      <w:color w:val="800000"/>
      <w:u w:val="single"/>
    </w:rPr>
  </w:style>
  <w:style w:type="character" w:customStyle="1" w:styleId="NumberingSymbols">
    <w:name w:val="Numbering Symbols"/>
    <w:qFormat/>
    <w:rsid w:val="00ED545B"/>
  </w:style>
  <w:style w:type="character" w:customStyle="1" w:styleId="Bullets">
    <w:name w:val="Bullets"/>
    <w:qFormat/>
    <w:rsid w:val="00ED545B"/>
    <w:rPr>
      <w:rFonts w:ascii="OpenSymbol" w:eastAsia="OpenSymbol" w:hAnsi="OpenSymbol" w:cs="OpenSymbol"/>
    </w:rPr>
  </w:style>
  <w:style w:type="paragraph" w:customStyle="1" w:styleId="Heading">
    <w:name w:val="Heading"/>
    <w:basedOn w:val="Norml"/>
    <w:next w:val="Szvegtrzs"/>
    <w:qFormat/>
    <w:rsid w:val="00ED545B"/>
    <w:pPr>
      <w:keepNext/>
      <w:spacing w:before="240" w:after="120"/>
    </w:pPr>
    <w:rPr>
      <w:rFonts w:ascii="Liberation Sans" w:hAnsi="Liberation Sans"/>
      <w:sz w:val="28"/>
      <w:szCs w:val="28"/>
    </w:rPr>
  </w:style>
  <w:style w:type="paragraph" w:styleId="Szvegtrzs">
    <w:name w:val="Body Text"/>
    <w:basedOn w:val="Norml"/>
    <w:link w:val="SzvegtrzsChar"/>
    <w:rsid w:val="00ED545B"/>
    <w:pPr>
      <w:spacing w:after="140" w:line="288" w:lineRule="auto"/>
    </w:pPr>
  </w:style>
  <w:style w:type="character" w:customStyle="1" w:styleId="SzvegtrzsChar">
    <w:name w:val="Szövegtörzs Char"/>
    <w:basedOn w:val="Bekezdsalapbettpusa"/>
    <w:link w:val="Szvegtrzs"/>
    <w:rsid w:val="00ED545B"/>
    <w:rPr>
      <w:rFonts w:ascii="Times New Roman" w:eastAsia="Noto Sans CJK SC Regular" w:hAnsi="Times New Roman" w:cs="FreeSans"/>
      <w:kern w:val="2"/>
      <w:sz w:val="24"/>
      <w:szCs w:val="24"/>
      <w:lang w:eastAsia="zh-CN" w:bidi="hi-IN"/>
    </w:rPr>
  </w:style>
  <w:style w:type="paragraph" w:styleId="Lista">
    <w:name w:val="List"/>
    <w:basedOn w:val="Szvegtrzs"/>
    <w:rsid w:val="00ED545B"/>
  </w:style>
  <w:style w:type="paragraph" w:styleId="Kpalrs">
    <w:name w:val="caption"/>
    <w:basedOn w:val="Norml"/>
    <w:qFormat/>
    <w:rsid w:val="00ED545B"/>
    <w:pPr>
      <w:suppressLineNumbers/>
      <w:spacing w:before="120" w:after="120"/>
    </w:pPr>
    <w:rPr>
      <w:i/>
      <w:iCs/>
    </w:rPr>
  </w:style>
  <w:style w:type="paragraph" w:customStyle="1" w:styleId="Index">
    <w:name w:val="Index"/>
    <w:basedOn w:val="Norml"/>
    <w:qFormat/>
    <w:rsid w:val="00ED545B"/>
    <w:pPr>
      <w:suppressLineNumbers/>
    </w:pPr>
  </w:style>
  <w:style w:type="paragraph" w:customStyle="1" w:styleId="HeaderandFooter">
    <w:name w:val="Header and Footer"/>
    <w:basedOn w:val="Norml"/>
    <w:qFormat/>
    <w:rsid w:val="00ED545B"/>
    <w:pPr>
      <w:suppressLineNumbers/>
      <w:tabs>
        <w:tab w:val="center" w:pos="4986"/>
        <w:tab w:val="right" w:pos="9972"/>
      </w:tabs>
    </w:pPr>
  </w:style>
  <w:style w:type="paragraph" w:customStyle="1" w:styleId="TableContents">
    <w:name w:val="Table Contents"/>
    <w:basedOn w:val="Norml"/>
    <w:qFormat/>
    <w:rsid w:val="00ED545B"/>
    <w:pPr>
      <w:suppressLineNumbers/>
    </w:pPr>
  </w:style>
  <w:style w:type="paragraph" w:customStyle="1" w:styleId="TableHeading">
    <w:name w:val="Table Heading"/>
    <w:basedOn w:val="TableContents"/>
    <w:qFormat/>
    <w:rsid w:val="00ED545B"/>
    <w:pPr>
      <w:jc w:val="center"/>
    </w:pPr>
    <w:rPr>
      <w:b/>
      <w:bCs/>
    </w:rPr>
  </w:style>
  <w:style w:type="paragraph" w:customStyle="1" w:styleId="HorizontalLine">
    <w:name w:val="Horizontal Line"/>
    <w:basedOn w:val="Norml"/>
    <w:next w:val="Szvegtrzs"/>
    <w:qFormat/>
    <w:rsid w:val="00ED545B"/>
    <w:pPr>
      <w:suppressLineNumbers/>
      <w:pBdr>
        <w:bottom w:val="double" w:sz="2" w:space="0" w:color="808080"/>
      </w:pBdr>
      <w:spacing w:after="283"/>
    </w:pPr>
    <w:rPr>
      <w:sz w:val="12"/>
      <w:szCs w:val="12"/>
    </w:rPr>
  </w:style>
  <w:style w:type="paragraph" w:styleId="Buborkszveg">
    <w:name w:val="Balloon Text"/>
    <w:basedOn w:val="Norml"/>
    <w:link w:val="BuborkszvegChar"/>
    <w:uiPriority w:val="99"/>
    <w:semiHidden/>
    <w:unhideWhenUsed/>
    <w:rsid w:val="00ED545B"/>
    <w:rPr>
      <w:rFonts w:ascii="Segoe UI" w:hAnsi="Segoe UI" w:cs="Mangal"/>
      <w:sz w:val="18"/>
      <w:szCs w:val="16"/>
    </w:rPr>
  </w:style>
  <w:style w:type="character" w:customStyle="1" w:styleId="BuborkszvegChar">
    <w:name w:val="Buborékszöveg Char"/>
    <w:basedOn w:val="Bekezdsalapbettpusa"/>
    <w:link w:val="Buborkszveg"/>
    <w:uiPriority w:val="99"/>
    <w:semiHidden/>
    <w:rsid w:val="00ED545B"/>
    <w:rPr>
      <w:rFonts w:ascii="Segoe UI" w:eastAsia="Noto Sans CJK SC Regular" w:hAnsi="Segoe UI" w:cs="Mangal"/>
      <w:kern w:val="2"/>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1302</Words>
  <Characters>8989</Characters>
  <Application>Microsoft Office Word</Application>
  <DocSecurity>0</DocSecurity>
  <Lines>74</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2024-10-25T08:04:00Z</dcterms:created>
  <dcterms:modified xsi:type="dcterms:W3CDTF">2024-10-25T08:04:00Z</dcterms:modified>
</cp:coreProperties>
</file>