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679" w:rsidRDefault="002D6679" w:rsidP="002D6679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.../.... (...) önkormányzati rendelete</w:t>
      </w:r>
    </w:p>
    <w:p w:rsidR="002D6679" w:rsidRDefault="002D6679" w:rsidP="002D6679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távhőszolgáltató és a felhasználó közötti jogviszony részletes szabályairól, valamint a hatósági áralkalmazás és a díjfizetés feltételeiről szóló 7/2007. (IV.02.) rendelet módosításáról</w:t>
      </w:r>
    </w:p>
    <w:p w:rsidR="002D6679" w:rsidRDefault="002D6679" w:rsidP="002D6679">
      <w:pPr>
        <w:pStyle w:val="Szvegtrzs"/>
        <w:spacing w:before="220" w:after="0" w:line="240" w:lineRule="auto"/>
        <w:jc w:val="both"/>
      </w:pPr>
      <w:r>
        <w:t>A távhőszolgáltatásról szóló 2005. évi XVIII. törvény és annak végrehajtására kiadott 157/2005. (VIII. 15.) Korm. rendelet, valamint az árak megállapításáról szóló 1990. évi LXXXVII. törvény felhatalmazása alapján Dunakeszi Város Önkormányzata a város közigazgatási területére vonatkozóan a távhőszolgáltató és a felhasználó közötti jogviszony részletes szabályairól, a hatósági áralkalmazás és a díjfizetés feltételeiről a következők szerint rendelkezik:</w:t>
      </w:r>
    </w:p>
    <w:p w:rsidR="002D6679" w:rsidRDefault="002D6679" w:rsidP="002D66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2D6679" w:rsidRDefault="002D6679" w:rsidP="002D6679">
      <w:pPr>
        <w:pStyle w:val="Szvegtrzs"/>
        <w:spacing w:after="0" w:line="240" w:lineRule="auto"/>
        <w:jc w:val="both"/>
      </w:pPr>
      <w:r>
        <w:t>A távhőszolgáltató és a felhasználó közötti jogviszony részletes szabályairól, valamint a hatósági áralkalmazás és a díjfizetés feltételeiről szóló 7/2007. (IV. 2.) önkormányzati rendelet a következő alcímmel egészül ki:</w:t>
      </w:r>
    </w:p>
    <w:p w:rsidR="002D6679" w:rsidRDefault="002D6679" w:rsidP="002D6679">
      <w:pPr>
        <w:pStyle w:val="Szvegtrzs"/>
        <w:spacing w:before="240" w:after="0" w:line="240" w:lineRule="auto"/>
        <w:jc w:val="center"/>
        <w:rPr>
          <w:b/>
          <w:bCs/>
        </w:rPr>
      </w:pPr>
      <w:r>
        <w:rPr>
          <w:b/>
          <w:bCs/>
        </w:rPr>
        <w:t>„A FŰTÉSI KÖLTSÉGMEGOSZTÓ FELSZERELÉSÉNEK MŰSZAKI MEGVALÓSÍTHATÓSÁGI ÉS KÖLTSÉGHATÉKONYSÁGI SZEMPONTJAI ÉS A FELHASZNÁLÓ VALAMINT A JEGYZŐ FELADATAI</w:t>
      </w:r>
    </w:p>
    <w:p w:rsidR="002D6679" w:rsidRDefault="002D6679" w:rsidP="002D66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4/A. §</w:t>
      </w:r>
    </w:p>
    <w:p w:rsidR="002D6679" w:rsidRDefault="002D6679" w:rsidP="002D6679">
      <w:pPr>
        <w:pStyle w:val="Szvegtrzs"/>
        <w:spacing w:after="0" w:line="240" w:lineRule="auto"/>
        <w:jc w:val="both"/>
      </w:pPr>
      <w:r>
        <w:t xml:space="preserve">(1) </w:t>
      </w:r>
      <w:r>
        <w:rPr>
          <w:i/>
          <w:iCs/>
        </w:rPr>
        <w:t>A rendelet hatálya alá tartozó távhőszolgáltatással ellátott lakóépületek és vegyes célra használt épületek esetén – a közös használatban lévő épületrészek kivételével - a felhasználó 2027. január 1. napjáig a távhőszolgáltatásról szóló 2005. évi XVIII. törvény végrehajtásáról szóló 157/2005. (VIII. 15.) Korm. rendelet (a továbbiakban: Tszt. Vhr.) 17/A. § 4. pontjában ekként meghatározott</w:t>
      </w:r>
      <w:r>
        <w:t xml:space="preserve"> </w:t>
      </w:r>
      <w:r>
        <w:rPr>
          <w:i/>
          <w:iCs/>
        </w:rPr>
        <w:t>fűtési költségmegosztókat szereltet fel, ha a felhasználó által elvégeztetett vizsgálat szerint az a Tszt. Vhr.-ben meghatározott általános előírások valamint az e rendeletben foglaltak szerint műszakilag megvalósítható és a költségmegosztó alkalmazása a lehetséges energiamegtakarítással való arányosság tekintetében költséghatékony.</w:t>
      </w:r>
    </w:p>
    <w:p w:rsidR="002D6679" w:rsidRDefault="002D6679" w:rsidP="002D6679">
      <w:pPr>
        <w:pStyle w:val="Szvegtrzs"/>
        <w:spacing w:before="240" w:after="0" w:line="240" w:lineRule="auto"/>
        <w:jc w:val="both"/>
      </w:pPr>
      <w:r>
        <w:t xml:space="preserve">(2) </w:t>
      </w:r>
      <w:r>
        <w:rPr>
          <w:i/>
          <w:iCs/>
        </w:rPr>
        <w:t>Az (1) bekezdés szerinti vizsgálatot a felhasználó a Tszt. Vhr. előírásai szerint végezteti el.</w:t>
      </w:r>
    </w:p>
    <w:p w:rsidR="002D6679" w:rsidRDefault="002D6679" w:rsidP="002D6679">
      <w:pPr>
        <w:pStyle w:val="Szvegtrzs"/>
        <w:spacing w:before="240" w:after="0" w:line="240" w:lineRule="auto"/>
        <w:jc w:val="both"/>
      </w:pPr>
      <w:r>
        <w:t xml:space="preserve">(3) </w:t>
      </w:r>
      <w:r>
        <w:rPr>
          <w:i/>
          <w:iCs/>
        </w:rPr>
        <w:t>A fűtési költségmegosztók felszerelése műszakilag megvalósítható, ha az megfelel a Tszt. Vhr. előírásainak.</w:t>
      </w:r>
    </w:p>
    <w:p w:rsidR="002D6679" w:rsidRDefault="002D6679" w:rsidP="002D6679">
      <w:pPr>
        <w:pStyle w:val="Szvegtrzs"/>
        <w:spacing w:before="240" w:after="0" w:line="240" w:lineRule="auto"/>
        <w:jc w:val="both"/>
      </w:pPr>
      <w:r>
        <w:t xml:space="preserve">(4) </w:t>
      </w:r>
      <w:r>
        <w:rPr>
          <w:i/>
          <w:iCs/>
        </w:rPr>
        <w:t>A fűtési költségmegosztók alkalmazása költséghatékony, ha az a Tszt. Vhr. költséghatékonyságra vonatkozó előírásainak megfelel, és a Tszt. Vhr. 8. melléklete szerinti Megtakarítási arány értéke 0,1 azon épületek vonatkozásában, amelyek fűtési rendszere termosztatikus radiátorszelepekkel van felszerelve.</w:t>
      </w:r>
    </w:p>
    <w:p w:rsidR="002D6679" w:rsidRDefault="002D6679" w:rsidP="002D66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4/B. §</w:t>
      </w:r>
    </w:p>
    <w:p w:rsidR="002D6679" w:rsidRDefault="002D6679" w:rsidP="002D6679">
      <w:pPr>
        <w:pStyle w:val="Szvegtrzs"/>
        <w:spacing w:after="0" w:line="240" w:lineRule="auto"/>
        <w:jc w:val="both"/>
      </w:pPr>
      <w:r>
        <w:t xml:space="preserve">(1) </w:t>
      </w:r>
      <w:r>
        <w:rPr>
          <w:i/>
          <w:iCs/>
        </w:rPr>
        <w:t>A felhasználó a Tszt. Vhr. előírásainak megfelelően lefolytatott vizsgálat eredményéről annak megszerzését követő 30 napon belül, de legkésőbb 2026. december 31-ig tájékoztatja a távhőszolgáltatót.</w:t>
      </w:r>
    </w:p>
    <w:p w:rsidR="002D6679" w:rsidRDefault="002D6679" w:rsidP="002D6679">
      <w:pPr>
        <w:pStyle w:val="Szvegtrzs"/>
        <w:spacing w:before="240" w:after="0" w:line="240" w:lineRule="auto"/>
        <w:jc w:val="both"/>
      </w:pPr>
      <w:r>
        <w:lastRenderedPageBreak/>
        <w:t xml:space="preserve">(2) </w:t>
      </w:r>
      <w:r>
        <w:rPr>
          <w:i/>
          <w:iCs/>
        </w:rPr>
        <w:t>A felhasználó a fűtési költségmegosztók Tszt. Vhr. 17/C. § (1d) bekezdése szerinti határidőben történt felszereléséről és alkalmazásáról annak megtörténtét követő 30 napon belül, de legkésőbb 2027. január 31-ig tájékoztatja a távhőszolgáltatót.</w:t>
      </w:r>
    </w:p>
    <w:p w:rsidR="002D6679" w:rsidRDefault="002D6679" w:rsidP="002D6679">
      <w:pPr>
        <w:pStyle w:val="Szvegtrzs"/>
        <w:spacing w:before="240" w:after="0" w:line="240" w:lineRule="auto"/>
        <w:jc w:val="both"/>
      </w:pPr>
      <w:r>
        <w:t xml:space="preserve">(3) </w:t>
      </w:r>
      <w:r>
        <w:rPr>
          <w:i/>
          <w:iCs/>
        </w:rPr>
        <w:t>2027. január 31. napját követően a jegyző a távhőszolgáltató közreműködésével ellenőrzi a felhasználók költségmegosztókra vonatkozó kötelezettségeinek teljesítését.</w:t>
      </w:r>
    </w:p>
    <w:p w:rsidR="002D6679" w:rsidRDefault="002D6679" w:rsidP="002D6679">
      <w:pPr>
        <w:pStyle w:val="Szvegtrzs"/>
        <w:spacing w:before="240" w:after="240" w:line="240" w:lineRule="auto"/>
        <w:jc w:val="both"/>
      </w:pPr>
      <w:r>
        <w:t xml:space="preserve">(4) </w:t>
      </w:r>
      <w:r>
        <w:rPr>
          <w:i/>
          <w:iCs/>
        </w:rPr>
        <w:t>Amennyiben Vhr. 8. melléklete és e rendelet szerinti vizsgálat eredményeképpen a fűtési költségmegosztók alkalmazása költséghatékony megoldásnak minősül, és a felhasználási hely tulajdonosi közössége nem a Tszt. 43. § (5b) bekezdése szerint jár el, akkor mindaddig, amíg a Tszt. 43. § (5b) bekezdésében foglaltak nem teljesülnek, az érintett felhasználási hely esetén az épületrészekre kiszámlázandó fűtési hőmennyiséget a Tszt. Vhr. 17/E. § (3a) bekezdésében foglaltak alapján kell meghatározni</w:t>
      </w:r>
      <w:r>
        <w:t>.”</w:t>
      </w:r>
    </w:p>
    <w:p w:rsidR="002D6679" w:rsidRDefault="002D6679" w:rsidP="002D66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2D6679" w:rsidRDefault="002D6679" w:rsidP="002D6679">
      <w:pPr>
        <w:pStyle w:val="Szvegtrzs"/>
        <w:spacing w:after="0" w:line="240" w:lineRule="auto"/>
        <w:jc w:val="both"/>
        <w:sectPr w:rsidR="002D6679">
          <w:footerReference w:type="default" r:id="rId4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2025. január 1-jén lép hatályba, és 2025. január 2-án hatályát veszti.</w:t>
      </w:r>
    </w:p>
    <w:p w:rsidR="002D6679" w:rsidRDefault="002D6679" w:rsidP="002D6679">
      <w:pPr>
        <w:pStyle w:val="Szvegtrzs"/>
        <w:spacing w:after="0"/>
        <w:jc w:val="center"/>
      </w:pPr>
    </w:p>
    <w:p w:rsidR="002D6679" w:rsidRDefault="002D6679" w:rsidP="002D6679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2D6679" w:rsidRDefault="002D6679" w:rsidP="002D6679">
      <w:pPr>
        <w:pStyle w:val="Szvegtrzs"/>
        <w:spacing w:line="240" w:lineRule="auto"/>
        <w:jc w:val="both"/>
      </w:pPr>
      <w:r>
        <w:t>A távhőszolgáltatásról szóló 2005. évi XVIII. törvény (a továbbiakban: Tszt.) 6. § (2) bekezdés j) pontja értelmében az önkormányzat rendeletben állapítja meg – a távhőszolgáltatásról szóló 2005. évi XVIII. törvény végrehajtásáról szóló 157/2005. (VIII. 15.) Korm. rendeletben ( a továbbiakban: Tszt. Vhr.) meghatározott általános előírások figyelembevételével – a fűtési költségmegosztó felszerelésének műszaki megvalósíthatósági és költséghatékonysági egyedi szempontjait, ütemezését és egyéb feltételeit.</w:t>
      </w:r>
    </w:p>
    <w:p w:rsidR="002D6679" w:rsidRDefault="002D6679" w:rsidP="002D6679">
      <w:pPr>
        <w:pStyle w:val="Szvegtrzs"/>
        <w:spacing w:line="240" w:lineRule="auto"/>
        <w:jc w:val="both"/>
      </w:pPr>
      <w:r>
        <w:t>Ezen rendeletalkotási feladatuknak az önkormányzatok a Tszt. 59/D. §-a alapján 2024. december 31. napjáig kötelesek eleget tenni.</w:t>
      </w:r>
    </w:p>
    <w:p w:rsidR="002D6679" w:rsidRDefault="002D6679" w:rsidP="002D6679">
      <w:pPr>
        <w:pStyle w:val="Szvegtrzs"/>
        <w:spacing w:line="240" w:lineRule="auto"/>
        <w:jc w:val="both"/>
      </w:pPr>
      <w:r>
        <w:t>A Tszt. Vhr. rögzíti a műszaki megvalósíthatóság kritériumait, meghatározza a költséghatékonysági vizsgálat alapelemeit, továbbá a műszakilag megvalósítható és költséghatékony beruházások elvégzésének elmaradása esetére alkalmazandó szankciót, így az önkormányzati rendeletalkotás egyik célja az, hogy a költséghatékonysági vizsgálat tekintetében a fűtési költségmegosztók alkalmazásával elérhető megtakarítási arányt (amely megtakarítási arány a Tszt. Vhr. 8. számú mellékletében foglaltak szerint 0 és 1 közötti két tizedesjegyben kifejezett értéket vehet fel) meghatározza. Ennek figyelembevételével került rögzítésre a rendeletmódosításban 10%-os arány az ingatlan fűtésének szabályozhatóságára tekintettel.   </w:t>
      </w:r>
    </w:p>
    <w:p w:rsidR="002D6679" w:rsidRDefault="002D6679" w:rsidP="002D6679">
      <w:pPr>
        <w:pStyle w:val="Szvegtrzs"/>
        <w:spacing w:line="240" w:lineRule="auto"/>
        <w:jc w:val="both"/>
      </w:pPr>
      <w:r>
        <w:t>A rendeletalkotás másik célja az, hogy rögzítse azt az eljárásrendet, amelynek mentén a jegyző eleget tud tenni azon feladatának, hogy ellenőrizze a felhasználók költségmegosztókra vonatkozó kötelezettségeinek teljesítését.</w:t>
      </w:r>
    </w:p>
    <w:p w:rsidR="002D6679" w:rsidRDefault="002D6679" w:rsidP="002D6679">
      <w:pPr>
        <w:pStyle w:val="Szvegtrzs"/>
        <w:spacing w:line="240" w:lineRule="auto"/>
        <w:jc w:val="both"/>
      </w:pPr>
      <w:r>
        <w:t>Meghatározza a fűtési költségmegosztók Tszt. 43. § (5b) bekezdése szerint kötelező felszerelésének ütemezését és feltételeit, illetve egyéb egyedi szempontjait, így – a Tszt. Vhr. 17/C. § (1d) bekezdés harmadik mondatában foglaltakra is tekintettel – rögzíti a költségmegosztók felszerelésére irányuló megtérülési arányszámot, illetve rögzíti a jegyző ellenőrzési feladatainak ellátásával összefüggő feladatokat és kötelezettségeket, melyet a jegyző a távhőszolgáltató bevonásával végez.</w:t>
      </w:r>
    </w:p>
    <w:p w:rsidR="002D6679" w:rsidRDefault="002D6679" w:rsidP="002D6679">
      <w:pPr>
        <w:pStyle w:val="Szvegtrzs"/>
        <w:spacing w:line="240" w:lineRule="auto"/>
        <w:jc w:val="both"/>
      </w:pPr>
      <w:r>
        <w:t>Azok a felhasználók, akikről az ellenőrzés eredményeként kiderül, hogy a törvényi kötelezettség ellenére nem szerelték fel a fűtési költségmegosztókat, a Tszt. Vhr. 17/E. § (3a) bekezdése szerinti fogják megállapítani a fűtési hőmennyiséget mindaddig, amíg a Tszt. 43. § (5b) bekezdése szerint kötelezettségüknek eleget nem tesznek</w:t>
      </w:r>
    </w:p>
    <w:p w:rsidR="006D3EA5" w:rsidRDefault="002D6679">
      <w:bookmarkStart w:id="0" w:name="_GoBack"/>
      <w:bookmarkEnd w:id="0"/>
    </w:p>
    <w:sectPr w:rsidR="006D3EA5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B39" w:rsidRDefault="002D667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B39" w:rsidRDefault="002D667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679"/>
    <w:rsid w:val="00046F8B"/>
    <w:rsid w:val="002D6679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B97379-760D-488E-9E73-43B86276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D6679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D6679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2D6679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2D6679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2D6679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761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2024-12-05T13:09:00Z</dcterms:created>
  <dcterms:modified xsi:type="dcterms:W3CDTF">2024-12-05T13:10:00Z</dcterms:modified>
</cp:coreProperties>
</file>