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D7D" w:rsidRDefault="001B1D7D" w:rsidP="001B1D7D">
      <w:pPr>
        <w:rPr>
          <w:sz w:val="24"/>
        </w:rPr>
      </w:pPr>
    </w:p>
    <w:p w:rsidR="001B1D7D" w:rsidRPr="00021EF0" w:rsidRDefault="001B1D7D" w:rsidP="001B1D7D">
      <w:pPr>
        <w:overflowPunct/>
        <w:autoSpaceDE/>
        <w:autoSpaceDN/>
        <w:adjustRightInd/>
        <w:spacing w:line="360" w:lineRule="auto"/>
        <w:jc w:val="center"/>
        <w:textAlignment w:val="auto"/>
        <w:rPr>
          <w:b/>
          <w:bCs/>
          <w:sz w:val="22"/>
          <w:szCs w:val="22"/>
        </w:rPr>
      </w:pPr>
      <w:r w:rsidRPr="00021EF0">
        <w:rPr>
          <w:b/>
          <w:bCs/>
          <w:sz w:val="22"/>
          <w:szCs w:val="22"/>
        </w:rPr>
        <w:t>Dunakeszi Város 2024. évi költségvetésének</w:t>
      </w:r>
    </w:p>
    <w:p w:rsidR="001B1D7D" w:rsidRPr="00021EF0" w:rsidRDefault="001B1D7D" w:rsidP="001B1D7D">
      <w:pPr>
        <w:overflowPunct/>
        <w:autoSpaceDE/>
        <w:autoSpaceDN/>
        <w:adjustRightInd/>
        <w:spacing w:line="360" w:lineRule="auto"/>
        <w:jc w:val="center"/>
        <w:textAlignment w:val="auto"/>
        <w:rPr>
          <w:b/>
          <w:bCs/>
          <w:sz w:val="22"/>
          <w:szCs w:val="22"/>
        </w:rPr>
      </w:pPr>
      <w:r w:rsidRPr="00021EF0">
        <w:rPr>
          <w:b/>
          <w:bCs/>
          <w:sz w:val="22"/>
          <w:szCs w:val="22"/>
        </w:rPr>
        <w:t>teljesítéséről szóló beszámoló indokolása</w:t>
      </w:r>
    </w:p>
    <w:p w:rsidR="001B1D7D" w:rsidRPr="00021EF0" w:rsidRDefault="001B1D7D" w:rsidP="001B1D7D">
      <w:pPr>
        <w:overflowPunct/>
        <w:autoSpaceDE/>
        <w:autoSpaceDN/>
        <w:adjustRightInd/>
        <w:spacing w:line="360" w:lineRule="auto"/>
        <w:jc w:val="center"/>
        <w:textAlignment w:val="auto"/>
        <w:rPr>
          <w:b/>
          <w:bCs/>
          <w:sz w:val="22"/>
          <w:szCs w:val="22"/>
        </w:rPr>
      </w:pPr>
      <w:r w:rsidRPr="00021EF0">
        <w:rPr>
          <w:b/>
          <w:bCs/>
          <w:sz w:val="22"/>
          <w:szCs w:val="22"/>
        </w:rPr>
        <w:t>(Zárszámadás)</w:t>
      </w:r>
    </w:p>
    <w:p w:rsidR="001B1D7D" w:rsidRPr="00021EF0" w:rsidRDefault="001B1D7D" w:rsidP="001B1D7D">
      <w:pPr>
        <w:jc w:val="center"/>
        <w:rPr>
          <w:sz w:val="22"/>
          <w:szCs w:val="22"/>
        </w:rPr>
      </w:pPr>
    </w:p>
    <w:p w:rsidR="001B1D7D" w:rsidRPr="00021EF0" w:rsidRDefault="001B1D7D" w:rsidP="001B1D7D">
      <w:pPr>
        <w:shd w:val="clear" w:color="auto" w:fill="FFFFFF"/>
        <w:spacing w:line="360" w:lineRule="auto"/>
        <w:ind w:firstLine="180"/>
        <w:jc w:val="both"/>
        <w:rPr>
          <w:color w:val="333E55"/>
          <w:sz w:val="22"/>
          <w:szCs w:val="22"/>
        </w:rPr>
      </w:pPr>
      <w:r w:rsidRPr="00021EF0">
        <w:rPr>
          <w:sz w:val="22"/>
          <w:szCs w:val="22"/>
        </w:rPr>
        <w:tab/>
      </w:r>
      <w:r w:rsidRPr="00021EF0">
        <w:rPr>
          <w:color w:val="333E55"/>
          <w:sz w:val="22"/>
          <w:szCs w:val="22"/>
        </w:rPr>
        <w:t>Az államháztartásról szóló </w:t>
      </w:r>
      <w:hyperlink r:id="rId5" w:anchor="SZ91" w:tgtFrame="_blank" w:history="1">
        <w:r w:rsidRPr="00021EF0">
          <w:rPr>
            <w:color w:val="333E55"/>
            <w:sz w:val="22"/>
            <w:szCs w:val="22"/>
          </w:rPr>
          <w:t>2011. évi CXCV. törvény 91. §</w:t>
        </w:r>
      </w:hyperlink>
      <w:r w:rsidRPr="00021EF0">
        <w:rPr>
          <w:color w:val="333E55"/>
          <w:sz w:val="22"/>
          <w:szCs w:val="22"/>
        </w:rPr>
        <w:t> alapján a helyi önkormányzat költségvetésének végrehajtására vonatkozó zárszámadási rendelet tervezetet a polgármester terjeszti a Képviselő-testület elé.</w:t>
      </w:r>
    </w:p>
    <w:p w:rsidR="001B1D7D" w:rsidRPr="00021EF0" w:rsidRDefault="001B1D7D" w:rsidP="001B1D7D">
      <w:pPr>
        <w:shd w:val="clear" w:color="auto" w:fill="FFFFFF"/>
        <w:overflowPunct/>
        <w:autoSpaceDE/>
        <w:autoSpaceDN/>
        <w:adjustRightInd/>
        <w:spacing w:line="360" w:lineRule="auto"/>
        <w:ind w:firstLine="180"/>
        <w:jc w:val="both"/>
        <w:textAlignment w:val="auto"/>
        <w:rPr>
          <w:color w:val="333E55"/>
          <w:sz w:val="22"/>
          <w:szCs w:val="22"/>
        </w:rPr>
      </w:pPr>
      <w:r w:rsidRPr="00021EF0">
        <w:rPr>
          <w:color w:val="333E55"/>
          <w:sz w:val="22"/>
          <w:szCs w:val="22"/>
        </w:rPr>
        <w:t>Az államháztartás számviteléről szóló 4/2013. (I.11.) Kormányrendelet alapján az Önkormányzat és költségvetési szervei beszámolóikat összeállították. Ezek felhasználásával a Gazdasági Osztály elkészítette az Önkormányzat 2024. évi költségvetéséről szóló 3/2024. (III. 01.) sz. rendelet végrehajtásáról szóló előterjesztést, melyet az alábbiakban részletesen mutatunk be.</w:t>
      </w:r>
    </w:p>
    <w:p w:rsidR="001B1D7D" w:rsidRPr="00021EF0" w:rsidRDefault="001B1D7D" w:rsidP="001B1D7D">
      <w:pPr>
        <w:shd w:val="clear" w:color="auto" w:fill="FFFFFF"/>
        <w:ind w:firstLine="180"/>
        <w:jc w:val="both"/>
        <w:rPr>
          <w:b/>
          <w:sz w:val="24"/>
          <w:szCs w:val="24"/>
        </w:rPr>
      </w:pP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spacing w:line="360" w:lineRule="auto"/>
        <w:jc w:val="center"/>
        <w:rPr>
          <w:b/>
          <w:bCs/>
          <w:smallCaps/>
          <w:sz w:val="22"/>
          <w:szCs w:val="22"/>
        </w:rPr>
      </w:pPr>
      <w:r w:rsidRPr="00021EF0">
        <w:rPr>
          <w:b/>
          <w:bCs/>
          <w:smallCaps/>
          <w:sz w:val="22"/>
          <w:szCs w:val="22"/>
        </w:rPr>
        <w:t>az  önkormányzati feladatellátás általános értékelése</w:t>
      </w:r>
    </w:p>
    <w:p w:rsidR="001B1D7D" w:rsidRPr="00021EF0" w:rsidRDefault="001B1D7D" w:rsidP="001B1D7D">
      <w:pPr>
        <w:shd w:val="clear" w:color="auto" w:fill="FFFFFF"/>
        <w:overflowPunct/>
        <w:autoSpaceDE/>
        <w:autoSpaceDN/>
        <w:adjustRightInd/>
        <w:spacing w:line="360" w:lineRule="auto"/>
        <w:ind w:firstLine="180"/>
        <w:jc w:val="both"/>
        <w:textAlignment w:val="auto"/>
        <w:rPr>
          <w:color w:val="333E55"/>
          <w:sz w:val="22"/>
          <w:szCs w:val="22"/>
        </w:rPr>
      </w:pPr>
    </w:p>
    <w:p w:rsidR="001B1D7D"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 xml:space="preserve">Az önkormányzati szektorban meghatározott megfontolt, takarékos és folyamatosan kontrollált gazdálkodás elősegítette a város költségvetésében tervezett feladatokhoz szükséges források biztosítását, az Önkormányzat pénzügyi és likviditási stabilitásának fenntartását. </w:t>
      </w:r>
    </w:p>
    <w:p w:rsidR="001B1D7D" w:rsidRPr="00141AFE" w:rsidRDefault="001B1D7D" w:rsidP="001B1D7D">
      <w:pPr>
        <w:spacing w:line="360" w:lineRule="auto"/>
        <w:jc w:val="both"/>
        <w:rPr>
          <w:color w:val="333E55"/>
          <w:sz w:val="22"/>
          <w:szCs w:val="22"/>
        </w:rPr>
      </w:pPr>
      <w:r w:rsidRPr="00141AFE">
        <w:rPr>
          <w:color w:val="333E55"/>
          <w:sz w:val="22"/>
          <w:szCs w:val="22"/>
        </w:rPr>
        <w:t>Annak ellenére, hogy Vác, Göd, Fót, Veresegyház és még Csömör is magasabb 1 főre jutó iparűzési adóbevétellel rendelkezik a környékünkön, zárszámadás adataiból kiderül, hogy sikerült a célkitűzéseket megvalósítani, jelentős fejlesztéseket végrehajtani, az intézményeket magas színvonalon működtetni és széles közönséget vonzó rendezvényeket szervezni.</w:t>
      </w:r>
    </w:p>
    <w:p w:rsidR="001B1D7D" w:rsidRPr="00296F57" w:rsidRDefault="001B1D7D" w:rsidP="001B1D7D">
      <w:pPr>
        <w:shd w:val="clear" w:color="auto" w:fill="FFFFFF"/>
        <w:overflowPunct/>
        <w:autoSpaceDE/>
        <w:autoSpaceDN/>
        <w:adjustRightInd/>
        <w:spacing w:line="360" w:lineRule="auto"/>
        <w:jc w:val="both"/>
        <w:textAlignment w:val="auto"/>
        <w:rPr>
          <w:color w:val="333E55"/>
          <w:sz w:val="22"/>
          <w:szCs w:val="22"/>
        </w:rPr>
      </w:pPr>
      <w:r w:rsidRPr="00141AFE">
        <w:rPr>
          <w:color w:val="333E55"/>
          <w:sz w:val="22"/>
          <w:szCs w:val="22"/>
        </w:rPr>
        <w:t>Dunakeszi fejlődése nem a magas adóbevételeknek, hanem a tudatos városvezetésnek, a hatékony pályázati részvételnek és az előrelátó gazdálkodásnak köszönhető.</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 megalapozott és mértéktartó gazdálkodás, továbbá az előző évről áthozott tartalék, valamint pályázati támogatások következtében, finanszírozási jellegű külső források bevonása nélkül is biztosított volt az Önkormányzat folyamatos likviditása. A feladatellátás tervezetten, a felmerülő igényeket rangsorolva, a rendelkezésre álló forrásokhoz és kapacitásokhoz igazítottan történt.</w:t>
      </w:r>
    </w:p>
    <w:p w:rsidR="001B1D7D"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 rendelkezésére álló központi- és saját forrásokkal az önkormányzat hatékonyan tudott gazdálkodni, a város vagyonát az elkészült fejlesztések és felújítások tovább gyarapították.</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Az Önkormányzat a jogszabályokban megállapított kötelező és az önként vállalt feladatait a beszámolás évében is megfelelő színvonalon teljesítette. Feladatait az általa fenntartott intézményeken keresztül, - Polgármesteri Hivatal, Dunakeszi Óvodai és Humán Szolgáltató Központ és Könyvtár, Sportigazgatóság, Helytörténeti Gyűjtemény, Szakorvosi Rendelőintézet  – valamint a 100%-os önkormányzati tulajdonú gazdasági társaságaival kötött közszolgáltatási szerződések alapján - Dunakeszi Közüzemi Nonprofit Kft. és a Dunakeszi Egészségügyi és Szociális Nonprofit Kft.- látta el.</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lastRenderedPageBreak/>
        <w:t>Az intézmények gazdálkodása a költségvetési rendeletben foglaltaknak megfelelően történt, a pénzügyi finanszírozásukról az Önkormányzat megfelelő gyakorisággal gondoskodott.</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Az önkormányzatoknak a vonatkozó törvényi rendelkezés értelmében a Magyar Államkincstár felé havi rendszerességgel kell teljesíteni a beszámolási kötelezettséget, melynek a határidőtől való eltérését, illetve elmaradását pénzügyi szankció sújtja. Ez irányú kötelezettségünknek valamennyi intézményünk és az önkormányzat gazdasági szervezete is határidőben eleget tett, a Kincstár az Önkormányzatunkkal szemben szankciót nem alkalmazott, fizetési kötelezettségünk nem keletkezett.</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Az alábbiakban részletezve, szöveges indoklással mutatjuk be Dunakeszi Város Önkormányzat 2024. évi költségvetésének bevételi és kiadási teljesítési oldalát, a teljesítést befolyásoló gazdasági eseményeket.</w:t>
      </w: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pacing w:val="20"/>
          <w:sz w:val="22"/>
          <w:szCs w:val="22"/>
        </w:rPr>
      </w:pPr>
      <w:r w:rsidRPr="00021EF0">
        <w:rPr>
          <w:b/>
          <w:sz w:val="22"/>
          <w:szCs w:val="22"/>
        </w:rPr>
        <w:t>BEVÉTELEK</w:t>
      </w:r>
    </w:p>
    <w:p w:rsidR="001B1D7D" w:rsidRPr="00021EF0" w:rsidRDefault="001B1D7D" w:rsidP="001B1D7D">
      <w:pPr>
        <w:shd w:val="clear" w:color="auto" w:fill="FFFFFF"/>
        <w:overflowPunct/>
        <w:autoSpaceDE/>
        <w:autoSpaceDN/>
        <w:adjustRightInd/>
        <w:spacing w:line="360" w:lineRule="auto"/>
        <w:ind w:firstLine="180"/>
        <w:jc w:val="both"/>
        <w:textAlignment w:val="auto"/>
        <w:rPr>
          <w:color w:val="333E55"/>
          <w:sz w:val="22"/>
          <w:szCs w:val="22"/>
        </w:rPr>
      </w:pPr>
    </w:p>
    <w:p w:rsidR="001B1D7D" w:rsidRPr="00021EF0" w:rsidRDefault="001B1D7D" w:rsidP="001B1D7D">
      <w:pPr>
        <w:shd w:val="clear" w:color="auto" w:fill="FFFFFF"/>
        <w:overflowPunct/>
        <w:autoSpaceDE/>
        <w:autoSpaceDN/>
        <w:adjustRightInd/>
        <w:spacing w:line="360" w:lineRule="auto"/>
        <w:ind w:firstLine="180"/>
        <w:jc w:val="both"/>
        <w:textAlignment w:val="auto"/>
        <w:rPr>
          <w:color w:val="333E55"/>
          <w:sz w:val="22"/>
          <w:szCs w:val="22"/>
        </w:rPr>
      </w:pPr>
      <w:r w:rsidRPr="00021EF0">
        <w:rPr>
          <w:color w:val="333E55"/>
          <w:sz w:val="22"/>
          <w:szCs w:val="22"/>
        </w:rPr>
        <w:t>Az Önkormányzat 2024. évi bevételeit jogcímenként a 2. sz. melléklet, jogcímenként és gazdálkodónként a 3. sz. melléklet mutatja be. A tényadatok a 2024. december 31-i állapotot tükrözik.</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Az Önkormányzat a 2024. évi kötelező feladatainak ellátáshoz központi támogatásban részesült, melynek mértékét Magyarország 2024. évi központi költségvetéséről szóló </w:t>
      </w:r>
      <w:hyperlink r:id="rId6" w:tgtFrame="_blank" w:history="1">
        <w:r w:rsidRPr="00021EF0">
          <w:rPr>
            <w:color w:val="333E55"/>
            <w:sz w:val="22"/>
            <w:szCs w:val="22"/>
          </w:rPr>
          <w:t>2023. évi LV. törvény</w:t>
        </w:r>
      </w:hyperlink>
      <w:r w:rsidRPr="00021EF0">
        <w:rPr>
          <w:color w:val="333E55"/>
          <w:sz w:val="22"/>
          <w:szCs w:val="22"/>
        </w:rPr>
        <w:t> határozta meg. A támogatás formája feladatalapú, melyet kizárólag a meghatározott kötelező feladatellátásra lehet fordítani. A kapott támogatásokkal szigorú elszámolási rend alapján el kell számolni, ellenkező felhasználás esetében vissza kell fizetni.</w:t>
      </w:r>
    </w:p>
    <w:p w:rsidR="001B1D7D" w:rsidRPr="00021EF0" w:rsidRDefault="001B1D7D" w:rsidP="001B1D7D">
      <w:pPr>
        <w:shd w:val="clear" w:color="auto" w:fill="FFFFFF"/>
        <w:overflowPunct/>
        <w:autoSpaceDE/>
        <w:autoSpaceDN/>
        <w:adjustRightInd/>
        <w:spacing w:line="360" w:lineRule="auto"/>
        <w:ind w:firstLine="180"/>
        <w:jc w:val="both"/>
        <w:textAlignment w:val="auto"/>
        <w:rPr>
          <w:color w:val="333E55"/>
          <w:sz w:val="22"/>
          <w:szCs w:val="22"/>
        </w:rPr>
      </w:pPr>
      <w:r w:rsidRPr="00021EF0">
        <w:rPr>
          <w:color w:val="333E55"/>
          <w:sz w:val="22"/>
          <w:szCs w:val="22"/>
        </w:rPr>
        <w:t>A helyi adókról szóló </w:t>
      </w:r>
      <w:hyperlink r:id="rId7" w:anchor="SZ6" w:tgtFrame="_blank" w:history="1">
        <w:r w:rsidRPr="00021EF0">
          <w:rPr>
            <w:color w:val="333E55"/>
            <w:sz w:val="22"/>
            <w:szCs w:val="22"/>
          </w:rPr>
          <w:t>1990. évi C. törvény (a továbbiakban: Htv.) 6. §</w:t>
        </w:r>
      </w:hyperlink>
      <w:r w:rsidRPr="00021EF0">
        <w:rPr>
          <w:color w:val="333E55"/>
          <w:sz w:val="22"/>
          <w:szCs w:val="22"/>
        </w:rPr>
        <w:t> (e) bekezdése felhatalmazza az önkormányzatokat, hogy a </w:t>
      </w:r>
      <w:hyperlink r:id="rId8" w:tgtFrame="_blank" w:history="1">
        <w:r w:rsidRPr="00021EF0">
          <w:rPr>
            <w:color w:val="333E55"/>
            <w:sz w:val="22"/>
            <w:szCs w:val="22"/>
            <w:u w:val="single"/>
          </w:rPr>
          <w:t>Htv.</w:t>
        </w:r>
      </w:hyperlink>
      <w:r w:rsidRPr="00021EF0">
        <w:rPr>
          <w:color w:val="333E55"/>
          <w:sz w:val="22"/>
          <w:szCs w:val="22"/>
        </w:rPr>
        <w:t> és az adózás rendjéről szóló törvény keretei között az adózás részletszabályait meghatározzák. Dunakeszi Város Önkormányzatának a helyi adókból származó bevételei az önkormányzat saját bevételét növelik. A </w:t>
      </w:r>
      <w:hyperlink r:id="rId9" w:tgtFrame="_blank" w:history="1">
        <w:r w:rsidRPr="00021EF0">
          <w:rPr>
            <w:color w:val="333E55"/>
            <w:sz w:val="22"/>
            <w:szCs w:val="22"/>
            <w:u w:val="single"/>
          </w:rPr>
          <w:t>Htv.</w:t>
        </w:r>
      </w:hyperlink>
      <w:r w:rsidRPr="00021EF0">
        <w:rPr>
          <w:color w:val="333E55"/>
          <w:sz w:val="22"/>
          <w:szCs w:val="22"/>
        </w:rPr>
        <w:t> és annak felhatalmazása alapján elfogadott önkormányzati rendeletek biztosítják az adóztatás kereteit és feltételeit. A helyi adók vonatkozásában 2024. évben az 55/2011.(XII.21.) sz. építményadó, illetve az 56/2011 (XII.21.) sz. telekadó rendeletek voltak érvényben. A képviselő-testület a helyi adókról  új 30/2024 (XI.22.) sz. rendeletet alkotott, melyet 2025. január 1-től kell alkalmazni. Az építményadó rendelet jelentős kedvezményeket biztosít a gyermekeket, kiskorú, illetve iskolába járó gyermekeket nevelő családok, valamint a nyugdíjasok vonatkozásában. Az Önkormányzat továbbra is fenntartani kívánja a széleskörű kedvezmények igénybevételének lehetőségét.</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Tovább folytatódott az adózók fokozottabb ellenőrzése, a hátralékok koncentrált felderítése, nyomon követése és a behajtás hatékonyságának növelése. Az építményadónál és a telekadónál folytattuk a felderítő munkát, annak érdekében, hogy minden dunakeszi lakos kivegye a részét a közteherviselésből, elősegítve ezzel a város fejlődését.</w:t>
      </w: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p>
    <w:p w:rsidR="001B1D7D" w:rsidRPr="00021EF0" w:rsidRDefault="001B1D7D" w:rsidP="001B1D7D">
      <w:pPr>
        <w:shd w:val="clear" w:color="auto" w:fill="FFFFFF"/>
        <w:overflowPunct/>
        <w:autoSpaceDE/>
        <w:autoSpaceDN/>
        <w:adjustRightInd/>
        <w:spacing w:line="360" w:lineRule="auto"/>
        <w:jc w:val="both"/>
        <w:textAlignment w:val="auto"/>
        <w:rPr>
          <w:color w:val="333E55"/>
          <w:sz w:val="22"/>
          <w:szCs w:val="22"/>
        </w:rPr>
      </w:pPr>
      <w:r w:rsidRPr="00021EF0">
        <w:rPr>
          <w:color w:val="333E55"/>
          <w:sz w:val="22"/>
          <w:szCs w:val="22"/>
        </w:rPr>
        <w:t>A bevételek teljesítése 2024. évben 20.898.826.047,-Ft volt, ebből 12.858.040.132,-Ft a költségvetési bevételek között, 8.040.785.915,-Ft a finanszírozási bevételek között jelenik meg.</w:t>
      </w:r>
    </w:p>
    <w:p w:rsidR="001B1D7D" w:rsidRPr="00021EF0" w:rsidRDefault="001B1D7D" w:rsidP="001B1D7D">
      <w:pPr>
        <w:shd w:val="clear" w:color="auto" w:fill="FFFFFF"/>
        <w:jc w:val="both"/>
        <w:rPr>
          <w:b/>
          <w:sz w:val="24"/>
          <w:szCs w:val="24"/>
        </w:rPr>
      </w:pPr>
    </w:p>
    <w:p w:rsidR="001B1D7D" w:rsidRPr="00021EF0" w:rsidRDefault="001B1D7D" w:rsidP="001B1D7D">
      <w:pPr>
        <w:shd w:val="clear" w:color="auto" w:fill="FFFFFF"/>
        <w:jc w:val="both"/>
        <w:rPr>
          <w:b/>
          <w:sz w:val="24"/>
          <w:szCs w:val="24"/>
        </w:rPr>
      </w:pPr>
    </w:p>
    <w:p w:rsidR="001B1D7D" w:rsidRPr="00021EF0" w:rsidRDefault="001B1D7D" w:rsidP="001B1D7D">
      <w:pPr>
        <w:shd w:val="clear" w:color="auto" w:fill="FFFFFF"/>
        <w:jc w:val="both"/>
        <w:rPr>
          <w:b/>
          <w:sz w:val="24"/>
          <w:szCs w:val="24"/>
        </w:rPr>
      </w:pPr>
    </w:p>
    <w:p w:rsidR="001B1D7D" w:rsidRPr="00021EF0" w:rsidRDefault="001B1D7D" w:rsidP="001B1D7D">
      <w:pPr>
        <w:overflowPunct/>
        <w:autoSpaceDE/>
        <w:autoSpaceDN/>
        <w:adjustRightInd/>
        <w:jc w:val="both"/>
        <w:textAlignment w:val="auto"/>
        <w:rPr>
          <w:b/>
          <w:iCs/>
          <w:sz w:val="22"/>
          <w:szCs w:val="22"/>
        </w:rPr>
      </w:pPr>
      <w:r w:rsidRPr="00021EF0">
        <w:rPr>
          <w:b/>
          <w:iCs/>
          <w:sz w:val="22"/>
          <w:szCs w:val="22"/>
        </w:rPr>
        <w:t>KÖLTSÉGVETÉSI BEVÉTELEK</w:t>
      </w:r>
    </w:p>
    <w:p w:rsidR="001B1D7D" w:rsidRPr="00021EF0" w:rsidRDefault="001B1D7D" w:rsidP="001B1D7D">
      <w:pPr>
        <w:overflowPunct/>
        <w:autoSpaceDE/>
        <w:autoSpaceDN/>
        <w:adjustRightInd/>
        <w:jc w:val="both"/>
        <w:textAlignment w:val="auto"/>
        <w:rPr>
          <w:b/>
          <w:iCs/>
          <w:sz w:val="22"/>
          <w:szCs w:val="22"/>
        </w:rPr>
      </w:pPr>
    </w:p>
    <w:p w:rsidR="001B1D7D" w:rsidRPr="00021EF0" w:rsidRDefault="001B1D7D" w:rsidP="001B1D7D">
      <w:pPr>
        <w:overflowPunct/>
        <w:autoSpaceDE/>
        <w:autoSpaceDN/>
        <w:adjustRightInd/>
        <w:jc w:val="both"/>
        <w:textAlignment w:val="auto"/>
        <w:rPr>
          <w:b/>
          <w:iCs/>
          <w:sz w:val="22"/>
          <w:szCs w:val="22"/>
        </w:rPr>
      </w:pPr>
      <w:r w:rsidRPr="00021EF0">
        <w:rPr>
          <w:b/>
          <w:iCs/>
          <w:sz w:val="22"/>
          <w:szCs w:val="22"/>
        </w:rPr>
        <w:t>Önkormányzatok működési támogatásai</w:t>
      </w:r>
    </w:p>
    <w:p w:rsidR="001B1D7D" w:rsidRPr="00021EF0" w:rsidRDefault="001B1D7D" w:rsidP="001B1D7D">
      <w:pPr>
        <w:overflowPunct/>
        <w:autoSpaceDE/>
        <w:autoSpaceDN/>
        <w:adjustRightInd/>
        <w:jc w:val="both"/>
        <w:textAlignment w:val="auto"/>
        <w:rPr>
          <w:sz w:val="22"/>
          <w:szCs w:val="22"/>
        </w:rPr>
      </w:pPr>
    </w:p>
    <w:p w:rsidR="001B1D7D" w:rsidRPr="00021EF0" w:rsidRDefault="001B1D7D" w:rsidP="001B1D7D">
      <w:pPr>
        <w:numPr>
          <w:ilvl w:val="12"/>
          <w:numId w:val="0"/>
        </w:numPr>
        <w:overflowPunct/>
        <w:autoSpaceDE/>
        <w:autoSpaceDN/>
        <w:adjustRightInd/>
        <w:spacing w:line="360" w:lineRule="auto"/>
        <w:jc w:val="both"/>
        <w:textAlignment w:val="auto"/>
        <w:rPr>
          <w:sz w:val="22"/>
          <w:szCs w:val="22"/>
        </w:rPr>
      </w:pPr>
      <w:r w:rsidRPr="00021EF0">
        <w:rPr>
          <w:sz w:val="22"/>
          <w:szCs w:val="22"/>
        </w:rPr>
        <w:t>A központi költségvetésből nyújtott támogatások mértéke 3.503.811.527,-Ft volt a jogszabályokban előírt kötelező feladatok biztosítására. A teljesítés tartalmazza az önkormányzat általános működésének és ágazati feladatainak támogatását, ezek teljesítése 2.802.684.508,-Ft. A teljesítésben benne vannak a kiegészítő támogatások is, melynek mértéke 2024. évben 514.545.768,-Ft volt. A központi költségvetésből nyújtott támogatások részletezése a 4. sz. mellékletben található.</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működés </w:t>
      </w:r>
      <w:r w:rsidRPr="00021EF0">
        <w:rPr>
          <w:b/>
          <w:sz w:val="22"/>
          <w:szCs w:val="22"/>
        </w:rPr>
        <w:t xml:space="preserve">általános támogatására </w:t>
      </w:r>
      <w:r w:rsidRPr="00021EF0">
        <w:rPr>
          <w:sz w:val="22"/>
          <w:szCs w:val="22"/>
        </w:rPr>
        <w:t xml:space="preserve">901.506.965,-Ft-ot kaptunk, Itt jelenik meg az önkormányzati hivatal működésére kapott támogatás 577.114.500,-Ft-os összege, a településüzemeltetésre kapott támogatások: zöldterület gazdálkodás támogatása 35.825.400,-Ft, közvilágítás támogatása 83.597.500,-Ft, köztemető támogatása 6.050.555,-Ft, közutak támogatása 77.180.960,-Ft. Itt kell könyvelni az egyéb önkormányzati feladatok támogatására kapott összeget is, melynek teljesítése 121.077.600,-Ft, valamint a lakott külterülettel kapcsolatos feladatok támogatásának összegét, melynek leutalt összege 660.450,-Ft volt. </w:t>
      </w:r>
    </w:p>
    <w:p w:rsidR="001B1D7D" w:rsidRPr="00021EF0" w:rsidRDefault="001B1D7D" w:rsidP="001B1D7D">
      <w:pPr>
        <w:overflowPunct/>
        <w:autoSpaceDE/>
        <w:autoSpaceDN/>
        <w:adjustRightInd/>
        <w:spacing w:line="360" w:lineRule="auto"/>
        <w:jc w:val="both"/>
        <w:textAlignment w:val="auto"/>
        <w:rPr>
          <w:b/>
          <w:sz w:val="22"/>
          <w:szCs w:val="22"/>
        </w:rPr>
      </w:pPr>
      <w:r w:rsidRPr="00021EF0">
        <w:rPr>
          <w:sz w:val="22"/>
          <w:szCs w:val="22"/>
        </w:rPr>
        <w:t xml:space="preserve">A </w:t>
      </w:r>
      <w:r w:rsidRPr="00021EF0">
        <w:rPr>
          <w:b/>
          <w:sz w:val="22"/>
          <w:szCs w:val="22"/>
        </w:rPr>
        <w:t xml:space="preserve">köznevelési feladatokra nyújtott támogatások összege </w:t>
      </w:r>
      <w:r w:rsidRPr="00021EF0">
        <w:rPr>
          <w:sz w:val="22"/>
          <w:szCs w:val="22"/>
        </w:rPr>
        <w:t>1.376.778.054,-Ft volt. Az óvodapedagógusok bértámogatására 802.874.800,-Ft, az óvodapedagógusok munkáját közvetlenül segítők bértámogatására 341.366.400,-Ft, óvodaműködtetés támogatására 191.111-054,-Ft, az óvodapedagógusok minősítéséből adódó többletkiadásokra 39.489.900,-Ft, diabétesz ellátási pótlékra 1.935.900,-Ft érkezett.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 xml:space="preserve">szociális és gyermekjóléti feladatok ellátására </w:t>
      </w:r>
      <w:r w:rsidRPr="00021EF0">
        <w:rPr>
          <w:sz w:val="22"/>
          <w:szCs w:val="22"/>
        </w:rPr>
        <w:t>691.746.405,-Ft</w:t>
      </w:r>
      <w:r w:rsidRPr="00021EF0">
        <w:rPr>
          <w:b/>
          <w:sz w:val="22"/>
          <w:szCs w:val="22"/>
        </w:rPr>
        <w:t xml:space="preserve"> </w:t>
      </w:r>
      <w:r w:rsidRPr="00021EF0">
        <w:rPr>
          <w:sz w:val="22"/>
          <w:szCs w:val="22"/>
        </w:rPr>
        <w:t xml:space="preserve">központi támogatásban részesültünk. A költségvetési törvény 2. sz. melléklete alapján 651.116.450,-Ft támogatás érkezett. Család- és Gyermekjóléti Szolgálatra 35.872.740,-Ft, Gyermekjóléti Központra 73.566.390,-Ft, az óvodai és iskolai szociális segítő tevékenység támogatására 62.891.520,-Ft érkezett. A bölcsőde támogatására 478.785.800,-Ft-ot kaptunk, ebből a szakmai dolgozók bérköltségéhez 400.768.200,-Ft-tal járult hozzá a központi költségvetés. A bölcsődei üzemeltetési támogatás összege 78.017.600,-Ft volt. A költségvetési törvény 3. sz. melléklete alapján a szociális ágazati összevont pótlék kifizetésére 40.629.955,-Ft érkezett.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gyermekétkeztetési feladatok</w:t>
      </w:r>
      <w:r w:rsidRPr="00021EF0">
        <w:rPr>
          <w:sz w:val="22"/>
          <w:szCs w:val="22"/>
        </w:rPr>
        <w:t xml:space="preserve"> ellátásához</w:t>
      </w:r>
      <w:r w:rsidRPr="00021EF0">
        <w:rPr>
          <w:b/>
          <w:sz w:val="22"/>
          <w:szCs w:val="22"/>
        </w:rPr>
        <w:t xml:space="preserve"> nyújtott támogatások összege </w:t>
      </w:r>
      <w:r w:rsidRPr="00021EF0">
        <w:rPr>
          <w:sz w:val="22"/>
          <w:szCs w:val="22"/>
        </w:rPr>
        <w:t>415.227.318,-Ft volt.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települési önkormányzatok kulturális feladatainak támogatására</w:t>
      </w:r>
      <w:r w:rsidRPr="00021EF0">
        <w:rPr>
          <w:sz w:val="22"/>
          <w:szCs w:val="22"/>
        </w:rPr>
        <w:t xml:space="preserve"> 115.180.745,-Ft-ot utalt a központi költségvetés.  A lakosságszám alapján járó támogatás összege a költségvetési törvény 2. sz. melléklete alapján 95.694.546,-Ft volt. A költségvetési törvény 3. sz. melléklete alapján 18.533.199,-Ft bérjellegű támogatásban és  953.000,-Ft könyvtári érdekeltségnövelő támogatásban részesültünk.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elszámolásból származó bevételeink</w:t>
      </w:r>
      <w:r w:rsidRPr="00021EF0">
        <w:rPr>
          <w:sz w:val="22"/>
          <w:szCs w:val="22"/>
        </w:rPr>
        <w:t xml:space="preserve"> teljesítése 3.372.040,-Ft. A 2023. évi beszámolóban a központi támogatásokat megalapozó feladatmutatókkal is el kellett számolnunk. Az ellátottak száma, </w:t>
      </w:r>
      <w:r w:rsidRPr="00021EF0">
        <w:rPr>
          <w:sz w:val="22"/>
          <w:szCs w:val="22"/>
        </w:rPr>
        <w:lastRenderedPageBreak/>
        <w:t xml:space="preserve">valamint az elvégzett feladatok alapján a központi költségvetésből még 3.372.040,-Ft támogatást kaptunk. </w:t>
      </w: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sz w:val="22"/>
          <w:szCs w:val="22"/>
        </w:rPr>
        <w:t xml:space="preserve">Az </w:t>
      </w:r>
      <w:r w:rsidRPr="00021EF0">
        <w:rPr>
          <w:b/>
          <w:sz w:val="22"/>
          <w:szCs w:val="22"/>
        </w:rPr>
        <w:t xml:space="preserve">elvonások, befizetések bevételeinek </w:t>
      </w:r>
      <w:r w:rsidRPr="00021EF0">
        <w:rPr>
          <w:sz w:val="22"/>
          <w:szCs w:val="22"/>
        </w:rPr>
        <w:t>teljesítése 80.332.761,-Ft az intézmények előző évi szabad maradványából elvont összegekből, a</w:t>
      </w:r>
      <w:r w:rsidRPr="00021EF0">
        <w:rPr>
          <w:color w:val="000000"/>
          <w:sz w:val="22"/>
          <w:szCs w:val="22"/>
        </w:rPr>
        <w:t xml:space="preserve"> 2023. évi költségvetés végrehajtásáról szóló 11/2024. (V.30.) számú önkormányzati rendelet 3.§ (7) bekezdése alapján.</w:t>
      </w:r>
    </w:p>
    <w:p w:rsidR="001B1D7D" w:rsidRPr="00021EF0" w:rsidRDefault="001B1D7D" w:rsidP="001B1D7D">
      <w:pPr>
        <w:overflowPunct/>
        <w:autoSpaceDE/>
        <w:autoSpaceDN/>
        <w:adjustRightInd/>
        <w:spacing w:line="360" w:lineRule="auto"/>
        <w:jc w:val="both"/>
        <w:textAlignment w:val="auto"/>
        <w:rPr>
          <w:b/>
          <w:color w:val="000000"/>
          <w:sz w:val="22"/>
          <w:szCs w:val="22"/>
        </w:rPr>
      </w:pPr>
    </w:p>
    <w:p w:rsidR="001B1D7D" w:rsidRPr="00021EF0" w:rsidRDefault="001B1D7D" w:rsidP="001B1D7D">
      <w:pPr>
        <w:overflowPunct/>
        <w:autoSpaceDE/>
        <w:autoSpaceDN/>
        <w:adjustRightInd/>
        <w:spacing w:line="360" w:lineRule="auto"/>
        <w:jc w:val="both"/>
        <w:textAlignment w:val="auto"/>
        <w:rPr>
          <w:b/>
          <w:color w:val="000000"/>
          <w:sz w:val="22"/>
          <w:szCs w:val="22"/>
        </w:rPr>
      </w:pPr>
    </w:p>
    <w:p w:rsidR="001B1D7D" w:rsidRPr="00021EF0" w:rsidRDefault="001B1D7D" w:rsidP="001B1D7D">
      <w:pPr>
        <w:overflowPunct/>
        <w:autoSpaceDE/>
        <w:autoSpaceDN/>
        <w:adjustRightInd/>
        <w:spacing w:line="360" w:lineRule="auto"/>
        <w:ind w:firstLine="708"/>
        <w:jc w:val="both"/>
        <w:textAlignment w:val="auto"/>
        <w:rPr>
          <w:sz w:val="22"/>
          <w:szCs w:val="22"/>
        </w:rPr>
      </w:pPr>
      <w:r w:rsidRPr="00021EF0">
        <w:rPr>
          <w:b/>
          <w:color w:val="000000"/>
          <w:sz w:val="22"/>
          <w:szCs w:val="22"/>
        </w:rPr>
        <w:t xml:space="preserve">Működési célú visszatérítendő támogatások, kölcsönök visszatérülése / igénybevétele államháztartáson belülről </w:t>
      </w:r>
      <w:r w:rsidRPr="00021EF0">
        <w:rPr>
          <w:color w:val="000000"/>
          <w:sz w:val="22"/>
          <w:szCs w:val="22"/>
        </w:rPr>
        <w:t>bevételi jogcímeken</w:t>
      </w:r>
      <w:r w:rsidRPr="00021EF0">
        <w:rPr>
          <w:b/>
          <w:color w:val="000000"/>
          <w:sz w:val="22"/>
          <w:szCs w:val="22"/>
        </w:rPr>
        <w:t xml:space="preserve">  </w:t>
      </w:r>
      <w:r w:rsidRPr="00021EF0">
        <w:rPr>
          <w:sz w:val="22"/>
          <w:szCs w:val="22"/>
        </w:rPr>
        <w:t>a Dunakeszi Szakrendelőhöz kapcsolódó tételek jelennek meg.</w:t>
      </w:r>
    </w:p>
    <w:p w:rsidR="001B1D7D" w:rsidRPr="00021EF0" w:rsidRDefault="001B1D7D" w:rsidP="001B1D7D">
      <w:pPr>
        <w:overflowPunct/>
        <w:autoSpaceDE/>
        <w:autoSpaceDN/>
        <w:adjustRightInd/>
        <w:spacing w:line="360" w:lineRule="auto"/>
        <w:jc w:val="both"/>
        <w:textAlignment w:val="auto"/>
        <w:rPr>
          <w:b/>
          <w:color w:val="000000"/>
          <w:sz w:val="22"/>
          <w:szCs w:val="22"/>
        </w:rPr>
      </w:pPr>
      <w:r w:rsidRPr="00021EF0">
        <w:rPr>
          <w:sz w:val="22"/>
          <w:szCs w:val="22"/>
        </w:rPr>
        <w:t xml:space="preserve"> A Dunakeszi Szakrendelő, 2024. évben újonnan létrehozott költségvetési szerv, melynek számfejtési, valamint adó- és járulékfizetési feladatait a  Magyar Államkincstár látja el. Az intézmény a NEAK finanszírozás terhére a Magyar Államkincstáron keresztül ún. „nettó finanszírozási” körbe tartozik. Az alapításkor a Magyar Államkincstár és a NEAK között az adatszolgáltatások több hónapig elhúzódtak, ezért a számfejtett bérek után a NAV felé rendezendő adók és járulékok, valamint a dolgozói letiltások összege nem a NEAK finanszírozásból, hanem az Önkormányzatnak járó támogatásból került levonásra. A levont összegeket működési célú visszatérítendő támogatásként mutatta ki az önkormányzat. 2024. évben 74.205.089,-Ft-ot könyveltünk le ilyen jogcímen, melyet az intézmény teljes egészében megtérített. Az igénybevétel a Dunakeszi Szakrendelőnél, a visszatérülés az Önkormányzatnál jelenik meg.</w:t>
      </w:r>
    </w:p>
    <w:p w:rsidR="001B1D7D" w:rsidRPr="00021EF0" w:rsidRDefault="001B1D7D" w:rsidP="001B1D7D">
      <w:pPr>
        <w:overflowPunct/>
        <w:autoSpaceDE/>
        <w:autoSpaceDN/>
        <w:adjustRightInd/>
        <w:spacing w:line="360" w:lineRule="auto"/>
        <w:jc w:val="both"/>
        <w:textAlignment w:val="auto"/>
        <w:rPr>
          <w:b/>
          <w:color w:val="000000"/>
          <w:sz w:val="22"/>
          <w:szCs w:val="22"/>
        </w:rPr>
      </w:pP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b/>
          <w:color w:val="000000"/>
          <w:sz w:val="22"/>
          <w:szCs w:val="22"/>
        </w:rPr>
        <w:t>Államháztartáson belülről</w:t>
      </w:r>
      <w:r w:rsidRPr="00021EF0">
        <w:rPr>
          <w:color w:val="000000"/>
          <w:sz w:val="22"/>
          <w:szCs w:val="22"/>
        </w:rPr>
        <w:t xml:space="preserve"> 216.458.324,-Ft </w:t>
      </w:r>
      <w:r w:rsidRPr="00021EF0">
        <w:rPr>
          <w:b/>
          <w:color w:val="000000"/>
          <w:sz w:val="22"/>
          <w:szCs w:val="22"/>
        </w:rPr>
        <w:t>támogatást</w:t>
      </w:r>
      <w:r w:rsidRPr="00021EF0">
        <w:rPr>
          <w:color w:val="000000"/>
          <w:sz w:val="22"/>
          <w:szCs w:val="22"/>
        </w:rPr>
        <w:t xml:space="preserve"> kaptunk működési célokra, ebből 184.714.783,-Ft az Önkormányzatnál, 29.343.541,-Ft a Polgármesteri Hivatalnál, 2.400.000,-Ft a DÓHSZK-nál jelentkezik. </w:t>
      </w: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color w:val="000000"/>
          <w:sz w:val="22"/>
          <w:szCs w:val="22"/>
        </w:rPr>
        <w:t xml:space="preserve">Az Önkormányzat bevétele 216.458.324,-Ft.  </w:t>
      </w:r>
      <w:r w:rsidRPr="00021EF0">
        <w:rPr>
          <w:bCs/>
          <w:iCs/>
          <w:color w:val="000000"/>
          <w:sz w:val="22"/>
          <w:szCs w:val="22"/>
        </w:rPr>
        <w:t xml:space="preserve">A Kulturális és Innovációs Minisztérium 163.874.045,-Ft támogatásban részesítette Önkormányzatunkat a Dunakeszi IV. Béla Király Gimnázium, a Váci Szakképzési Centrum Lányi Ferenc Technikum és Szakképző Iskola, valamint uszoda kialakítása tárgyú beruházáshoz kapcsolódó lakossági tájékoztatási és menedzsmenti feladatok ellátására. </w:t>
      </w:r>
      <w:r w:rsidRPr="00021EF0">
        <w:rPr>
          <w:color w:val="000000"/>
          <w:sz w:val="22"/>
          <w:szCs w:val="22"/>
        </w:rPr>
        <w:t xml:space="preserve">A mezei őrszolgálat működésének támogatására 1.363.000,-Ft támogatásban részesültünk. A közfoglalkoztatottak bérköltségére 2.836.888,-Ft érkezett a Gazdaság-újraindítási Foglalkoztatási Alaptól. Az Emberi Erőforrás Támogatáskezelő 110.000,-Ft-ot utalt át jogosultság hiányában ki nem fizetett támogatás címen (Bursa Hungarica ösztöndíj). A Miniszterelnökségtől 1.121.000,-Ft támogatás érkezett, ebből  800.000,-Ft a X. Futakeszi rendezvényhez,  321.000,-Ft a Mozdulj Dunakeszi programhoz kapcsolódik. A Nemzeti Hulladékgazdálkodási Koordináló és Vagyonkezelő Zrt. a Tisztítsuk meg az országot II. hulladékfelszámolási pályázat keretében 22.500.000,-Ft támogatásban részesítette Önkormányzatunkat, ebből 13.500.000,-Ft működési célt szolgál. A Pest Megyei Kormányhivatal 667.000,-Ft-ot utalt át a nyári diákmunka költségeire. A Bethlen Gábor Alapkezelő </w:t>
      </w:r>
      <w:r w:rsidRPr="00021EF0">
        <w:rPr>
          <w:color w:val="000000"/>
          <w:sz w:val="22"/>
          <w:szCs w:val="22"/>
        </w:rPr>
        <w:lastRenderedPageBreak/>
        <w:t>1.242.850,-Ft támogatásban részesítette Önkormányzatunkat a Magyar-magyar közösségi tevékenységek keretében.</w:t>
      </w:r>
    </w:p>
    <w:p w:rsidR="001B1D7D" w:rsidRPr="00021EF0" w:rsidRDefault="001B1D7D" w:rsidP="001B1D7D">
      <w:pPr>
        <w:pStyle w:val="NormlWeb"/>
        <w:spacing w:after="0" w:line="360" w:lineRule="auto"/>
        <w:jc w:val="both"/>
        <w:rPr>
          <w:color w:val="000000"/>
        </w:rPr>
      </w:pPr>
      <w:r w:rsidRPr="00021EF0">
        <w:rPr>
          <w:color w:val="000000"/>
          <w:sz w:val="22"/>
          <w:szCs w:val="22"/>
        </w:rPr>
        <w:t xml:space="preserve"> A Polgármesteri Hivatal teljesítése 29.343.541,- Ft. A Dunakeszi Kistérség Társulása 8.127.726,-Ft-ot utalt át </w:t>
      </w:r>
      <w:r w:rsidRPr="00021EF0">
        <w:rPr>
          <w:sz w:val="22"/>
          <w:szCs w:val="22"/>
        </w:rPr>
        <w:t>a munkaszervezet bér- és járulék költségeire.</w:t>
      </w:r>
      <w:r w:rsidRPr="00021EF0">
        <w:rPr>
          <w:color w:val="000000"/>
          <w:sz w:val="22"/>
          <w:szCs w:val="22"/>
        </w:rPr>
        <w:t xml:space="preserve"> A Nemzeti Választási Iroda 21.215.815,-Ft-ot utalt a </w:t>
      </w:r>
      <w:r w:rsidRPr="00021EF0">
        <w:rPr>
          <w:sz w:val="22"/>
          <w:szCs w:val="22"/>
        </w:rPr>
        <w:t>2024. június 9. napjára kitűzött Európai Parlament tagjai, a helyi önkormányzati képviselők és a polgármeseterek, valamint a nemzetiségi önkormányzati képviselők közös eljárásban lebonyolított általános választása feladat lebonyolítására.</w:t>
      </w: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color w:val="000000"/>
          <w:sz w:val="22"/>
          <w:szCs w:val="22"/>
        </w:rPr>
        <w:t xml:space="preserve"> A DÓHSZK</w:t>
      </w:r>
      <w:r w:rsidRPr="00021EF0">
        <w:rPr>
          <w:b/>
          <w:i/>
          <w:color w:val="000000"/>
          <w:sz w:val="22"/>
          <w:szCs w:val="22"/>
        </w:rPr>
        <w:t xml:space="preserve"> </w:t>
      </w:r>
      <w:r w:rsidRPr="00021EF0">
        <w:rPr>
          <w:color w:val="000000"/>
          <w:sz w:val="22"/>
          <w:szCs w:val="22"/>
        </w:rPr>
        <w:t xml:space="preserve">a Dunakeszi Kistérség Társulásától 2.400.000,-Ft összegű támogatást kapott a nyári napközis tábor működéséhez. </w:t>
      </w:r>
    </w:p>
    <w:p w:rsidR="001B1D7D" w:rsidRPr="00021EF0" w:rsidRDefault="001B1D7D" w:rsidP="001B1D7D">
      <w:pPr>
        <w:pStyle w:val="NormlWeb"/>
        <w:spacing w:after="0" w:line="360" w:lineRule="auto"/>
        <w:jc w:val="both"/>
        <w:rPr>
          <w:color w:val="000000"/>
          <w:sz w:val="22"/>
          <w:szCs w:val="22"/>
        </w:rPr>
      </w:pPr>
    </w:p>
    <w:p w:rsidR="001B1D7D" w:rsidRPr="00021EF0" w:rsidRDefault="001B1D7D" w:rsidP="001B1D7D">
      <w:pPr>
        <w:overflowPunct/>
        <w:autoSpaceDE/>
        <w:autoSpaceDN/>
        <w:adjustRightInd/>
        <w:spacing w:line="360" w:lineRule="auto"/>
        <w:jc w:val="both"/>
        <w:textAlignment w:val="auto"/>
        <w:rPr>
          <w:b/>
          <w:color w:val="000000"/>
          <w:sz w:val="22"/>
          <w:szCs w:val="22"/>
        </w:rPr>
      </w:pPr>
      <w:r w:rsidRPr="00021EF0">
        <w:rPr>
          <w:b/>
          <w:color w:val="000000"/>
          <w:sz w:val="22"/>
          <w:szCs w:val="22"/>
        </w:rPr>
        <w:t>Egyéb működési célú támogatások államháztartáson belülről - NEAK</w:t>
      </w: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color w:val="000000"/>
          <w:sz w:val="22"/>
          <w:szCs w:val="22"/>
        </w:rPr>
        <w:t>A Dunakeszi Szakrendelő 732.331.810,-Ft Nemzeti Egészségbiztosítási Alapkezelőtől érkező támogatást tervezett 2024. évre. Az intézmény május hónapban alakult, tevékenységét július 1. napjával kezdte meg, 2024. évben 684.782.500,-Ft támogatásban részesült.</w:t>
      </w:r>
    </w:p>
    <w:p w:rsidR="001B1D7D" w:rsidRPr="00021EF0" w:rsidRDefault="001B1D7D" w:rsidP="001B1D7D">
      <w:pPr>
        <w:pStyle w:val="NormlWeb"/>
        <w:spacing w:after="0" w:line="360" w:lineRule="auto"/>
        <w:jc w:val="both"/>
        <w:rPr>
          <w:color w:val="000000"/>
          <w:sz w:val="22"/>
          <w:szCs w:val="22"/>
        </w:rPr>
      </w:pPr>
    </w:p>
    <w:p w:rsidR="001B1D7D" w:rsidRPr="00021EF0" w:rsidRDefault="001B1D7D" w:rsidP="001B1D7D">
      <w:pPr>
        <w:pStyle w:val="NormlWeb"/>
        <w:spacing w:after="0" w:line="360" w:lineRule="auto"/>
        <w:jc w:val="both"/>
        <w:rPr>
          <w:color w:val="000000"/>
          <w:sz w:val="22"/>
          <w:szCs w:val="22"/>
        </w:rPr>
      </w:pPr>
      <w:r w:rsidRPr="00021EF0">
        <w:rPr>
          <w:color w:val="000000"/>
          <w:sz w:val="22"/>
          <w:szCs w:val="22"/>
        </w:rPr>
        <w:t xml:space="preserve">Az </w:t>
      </w:r>
      <w:r w:rsidRPr="00021EF0">
        <w:rPr>
          <w:b/>
          <w:color w:val="000000"/>
          <w:sz w:val="22"/>
          <w:szCs w:val="22"/>
        </w:rPr>
        <w:t>egyéb működési célú átvett pénzeszközö</w:t>
      </w:r>
      <w:r w:rsidRPr="00021EF0">
        <w:rPr>
          <w:color w:val="000000"/>
          <w:sz w:val="22"/>
          <w:szCs w:val="22"/>
        </w:rPr>
        <w:t>k soron 1.896.802,- Ft a teljesítés. A HUMDA Magyar Autó-Motorsport Fejlesztési Ügynökség Zrt. 732.802,-Ft-ot utalt a Mobilitás Hét költségeire. Csapadékcsatorna terhelési díj jogcímen 564.000,-Ft bevétel érkezett. Az OTP Nyrt. 600.000,-Ft-tal járult hozzá a városi Gyermeknap költségeihez.</w:t>
      </w:r>
    </w:p>
    <w:p w:rsidR="001B1D7D" w:rsidRPr="00021EF0" w:rsidRDefault="001B1D7D" w:rsidP="001B1D7D">
      <w:pPr>
        <w:pStyle w:val="NormlWeb"/>
        <w:spacing w:after="0" w:line="360" w:lineRule="auto"/>
        <w:jc w:val="both"/>
        <w:rPr>
          <w:b/>
          <w:iCs/>
          <w:sz w:val="22"/>
          <w:szCs w:val="22"/>
        </w:rPr>
      </w:pPr>
    </w:p>
    <w:p w:rsidR="001B1D7D" w:rsidRPr="00021EF0" w:rsidRDefault="001B1D7D" w:rsidP="001B1D7D">
      <w:pPr>
        <w:overflowPunct/>
        <w:autoSpaceDE/>
        <w:autoSpaceDN/>
        <w:adjustRightInd/>
        <w:jc w:val="both"/>
        <w:textAlignment w:val="auto"/>
        <w:rPr>
          <w:sz w:val="22"/>
          <w:szCs w:val="22"/>
        </w:rPr>
      </w:pPr>
      <w:r w:rsidRPr="00021EF0">
        <w:rPr>
          <w:b/>
          <w:iCs/>
          <w:sz w:val="22"/>
          <w:szCs w:val="22"/>
        </w:rPr>
        <w:t>Közhatalmi bevételek</w:t>
      </w:r>
    </w:p>
    <w:p w:rsidR="001B1D7D" w:rsidRPr="00021EF0" w:rsidRDefault="001B1D7D" w:rsidP="001B1D7D">
      <w:pPr>
        <w:overflowPunct/>
        <w:autoSpaceDE/>
        <w:autoSpaceDN/>
        <w:adjustRightInd/>
        <w:spacing w:line="360" w:lineRule="auto"/>
        <w:jc w:val="both"/>
        <w:textAlignment w:val="auto"/>
        <w:rPr>
          <w:b/>
          <w:i/>
          <w:sz w:val="22"/>
          <w:szCs w:val="22"/>
        </w:rPr>
      </w:pPr>
    </w:p>
    <w:p w:rsidR="001B1D7D" w:rsidRPr="00021EF0" w:rsidRDefault="001B1D7D" w:rsidP="001B1D7D">
      <w:pPr>
        <w:overflowPunct/>
        <w:autoSpaceDE/>
        <w:autoSpaceDN/>
        <w:adjustRightInd/>
        <w:spacing w:line="360" w:lineRule="auto"/>
        <w:ind w:firstLine="709"/>
        <w:jc w:val="both"/>
        <w:textAlignment w:val="auto"/>
        <w:rPr>
          <w:sz w:val="22"/>
          <w:szCs w:val="22"/>
        </w:rPr>
      </w:pPr>
      <w:r w:rsidRPr="00021EF0">
        <w:rPr>
          <w:sz w:val="22"/>
          <w:szCs w:val="22"/>
        </w:rPr>
        <w:t>Az önkormányzat legjelentősebb bevételei a közhatalmi bevételek, melyből 2024. évben 6.278.728.867,-Ft-ot fizettek be, a teljesítések adónemenként az alábbiak szerint alakultak:</w:t>
      </w:r>
    </w:p>
    <w:p w:rsidR="001B1D7D" w:rsidRPr="00021EF0" w:rsidRDefault="001B1D7D" w:rsidP="001B1D7D">
      <w:pPr>
        <w:overflowPunct/>
        <w:autoSpaceDE/>
        <w:autoSpaceDN/>
        <w:adjustRightInd/>
        <w:spacing w:line="360" w:lineRule="auto"/>
        <w:jc w:val="both"/>
        <w:textAlignment w:val="auto"/>
        <w:rPr>
          <w:bCs/>
          <w:sz w:val="22"/>
          <w:szCs w:val="22"/>
        </w:rPr>
      </w:pPr>
      <w:r w:rsidRPr="00021EF0">
        <w:rPr>
          <w:b/>
          <w:bCs/>
          <w:sz w:val="22"/>
          <w:szCs w:val="22"/>
        </w:rPr>
        <w:t xml:space="preserve">Építményadóra </w:t>
      </w:r>
      <w:r w:rsidRPr="00021EF0">
        <w:rPr>
          <w:bCs/>
          <w:sz w:val="22"/>
          <w:szCs w:val="22"/>
        </w:rPr>
        <w:t xml:space="preserve">az eredeti költségvetésben 800.000.000,-Ft-ot terveztünk, év közben 990.000.000,-Ft-ra növelhettük az előirányzatot a teljesítés 998.470.091,-Ft. </w:t>
      </w:r>
    </w:p>
    <w:p w:rsidR="001B1D7D" w:rsidRPr="00021EF0" w:rsidRDefault="001B1D7D" w:rsidP="001B1D7D">
      <w:pPr>
        <w:overflowPunct/>
        <w:autoSpaceDE/>
        <w:autoSpaceDN/>
        <w:adjustRightInd/>
        <w:spacing w:line="360" w:lineRule="auto"/>
        <w:jc w:val="both"/>
        <w:textAlignment w:val="auto"/>
        <w:rPr>
          <w:bCs/>
          <w:sz w:val="22"/>
          <w:szCs w:val="22"/>
        </w:rPr>
      </w:pPr>
      <w:r w:rsidRPr="00021EF0">
        <w:rPr>
          <w:bCs/>
          <w:sz w:val="22"/>
          <w:szCs w:val="22"/>
        </w:rPr>
        <w:t xml:space="preserve">A </w:t>
      </w:r>
      <w:r w:rsidRPr="00021EF0">
        <w:rPr>
          <w:b/>
          <w:bCs/>
          <w:sz w:val="22"/>
          <w:szCs w:val="22"/>
        </w:rPr>
        <w:t>telekadóból</w:t>
      </w:r>
      <w:r w:rsidRPr="00021EF0">
        <w:rPr>
          <w:bCs/>
          <w:sz w:val="22"/>
          <w:szCs w:val="22"/>
        </w:rPr>
        <w:t xml:space="preserve"> befolyó bevétel 374.733.140,-Ft volt. Az eredeti költségvetésben 280.000.000,-Ft-ot terveztünk, a teljesítésnek megfelelően 370.000.000,-Ft-ra növeltük az előirányzatot.</w:t>
      </w:r>
    </w:p>
    <w:p w:rsidR="001B1D7D" w:rsidRPr="00021EF0" w:rsidRDefault="001B1D7D" w:rsidP="001B1D7D">
      <w:pPr>
        <w:overflowPunct/>
        <w:autoSpaceDE/>
        <w:autoSpaceDN/>
        <w:adjustRightInd/>
        <w:spacing w:line="360" w:lineRule="auto"/>
        <w:jc w:val="both"/>
        <w:textAlignment w:val="auto"/>
        <w:rPr>
          <w:bCs/>
          <w:sz w:val="22"/>
          <w:szCs w:val="22"/>
        </w:rPr>
      </w:pPr>
      <w:r w:rsidRPr="00021EF0">
        <w:rPr>
          <w:b/>
          <w:bCs/>
          <w:sz w:val="22"/>
          <w:szCs w:val="22"/>
        </w:rPr>
        <w:t>Iparűzési adó</w:t>
      </w:r>
      <w:r w:rsidRPr="00021EF0">
        <w:rPr>
          <w:bCs/>
          <w:sz w:val="22"/>
          <w:szCs w:val="22"/>
        </w:rPr>
        <w:t xml:space="preserve"> bevételből 3.530.000.000,-Ft-ot terveztünk. A teljesítés 4.825.991.236,-Ft, az előirányzatot itt is a teljesítésnek megfelelően növelni lehetett.</w:t>
      </w:r>
    </w:p>
    <w:p w:rsidR="001B1D7D" w:rsidRPr="00021EF0" w:rsidRDefault="001B1D7D" w:rsidP="001B1D7D">
      <w:pPr>
        <w:overflowPunct/>
        <w:autoSpaceDE/>
        <w:autoSpaceDN/>
        <w:adjustRightInd/>
        <w:spacing w:line="360" w:lineRule="auto"/>
        <w:jc w:val="both"/>
        <w:textAlignment w:val="auto"/>
        <w:rPr>
          <w:bCs/>
          <w:sz w:val="22"/>
          <w:szCs w:val="22"/>
        </w:rPr>
      </w:pPr>
      <w:r w:rsidRPr="00021EF0">
        <w:rPr>
          <w:b/>
          <w:bCs/>
          <w:sz w:val="22"/>
          <w:szCs w:val="22"/>
        </w:rPr>
        <w:t>Idegenforgalmi adóból</w:t>
      </w:r>
      <w:r w:rsidRPr="00021EF0">
        <w:rPr>
          <w:bCs/>
          <w:sz w:val="22"/>
          <w:szCs w:val="22"/>
        </w:rPr>
        <w:t xml:space="preserve"> nem terveztünk bevételt, a teljesítés 461.000,-Ft. </w:t>
      </w:r>
    </w:p>
    <w:p w:rsidR="001B1D7D" w:rsidRPr="00021EF0" w:rsidRDefault="001B1D7D" w:rsidP="001B1D7D">
      <w:pPr>
        <w:overflowPunct/>
        <w:autoSpaceDE/>
        <w:autoSpaceDN/>
        <w:adjustRightInd/>
        <w:spacing w:line="360" w:lineRule="auto"/>
        <w:jc w:val="both"/>
        <w:textAlignment w:val="auto"/>
        <w:rPr>
          <w:bCs/>
          <w:sz w:val="22"/>
          <w:szCs w:val="22"/>
        </w:rPr>
      </w:pPr>
      <w:r w:rsidRPr="00021EF0">
        <w:rPr>
          <w:bCs/>
          <w:sz w:val="22"/>
          <w:szCs w:val="22"/>
        </w:rPr>
        <w:t xml:space="preserve">Az </w:t>
      </w:r>
      <w:r w:rsidRPr="00021EF0">
        <w:rPr>
          <w:b/>
          <w:bCs/>
          <w:sz w:val="22"/>
          <w:szCs w:val="22"/>
        </w:rPr>
        <w:t>egyéb közhatalmi bevételek</w:t>
      </w:r>
      <w:r w:rsidRPr="00021EF0">
        <w:rPr>
          <w:bCs/>
          <w:sz w:val="22"/>
          <w:szCs w:val="22"/>
        </w:rPr>
        <w:t xml:space="preserve"> soron jelennek meg az adópótlék, adóbírság bevételek, a Közterület Felügyelet által kiszabott bírságokból befolyó bevétel, valamint a talajterhelési díjra befizetett összegek. </w:t>
      </w:r>
      <w:r w:rsidRPr="00021EF0">
        <w:rPr>
          <w:b/>
          <w:bCs/>
          <w:sz w:val="22"/>
          <w:szCs w:val="22"/>
        </w:rPr>
        <w:t>Adóbírságra</w:t>
      </w:r>
      <w:r w:rsidRPr="00021EF0">
        <w:rPr>
          <w:bCs/>
          <w:sz w:val="22"/>
          <w:szCs w:val="22"/>
        </w:rPr>
        <w:t xml:space="preserve"> 35.569.012,-Ft-ot, </w:t>
      </w:r>
      <w:r w:rsidRPr="00021EF0">
        <w:rPr>
          <w:b/>
          <w:bCs/>
          <w:sz w:val="22"/>
          <w:szCs w:val="22"/>
        </w:rPr>
        <w:t>pótlékra</w:t>
      </w:r>
      <w:r w:rsidRPr="00021EF0">
        <w:rPr>
          <w:bCs/>
          <w:sz w:val="22"/>
          <w:szCs w:val="22"/>
        </w:rPr>
        <w:t xml:space="preserve"> 34.833.897,-Ft-ot fizettek be. </w:t>
      </w:r>
      <w:r w:rsidRPr="00021EF0">
        <w:rPr>
          <w:b/>
          <w:bCs/>
          <w:sz w:val="22"/>
          <w:szCs w:val="22"/>
        </w:rPr>
        <w:t>Egyéb bírságok</w:t>
      </w:r>
      <w:r w:rsidRPr="00021EF0">
        <w:rPr>
          <w:bCs/>
          <w:sz w:val="22"/>
          <w:szCs w:val="22"/>
        </w:rPr>
        <w:t xml:space="preserve"> címen 2.643.500,-Ft bevételt könyvelhettünk le, ebből a várakozási időn túli parkolás miatt kiszabott bírságok összege 80.000,-Ft, a zöldfelületen parkolás miatti bírság befizetés  730.000,-Ft volt. Közlekedési szabálysértés miatt kiszabott bírságokból 39.000,-Ft folyt be. Településképvédelmi bírságból </w:t>
      </w:r>
      <w:r w:rsidRPr="00021EF0">
        <w:rPr>
          <w:bCs/>
          <w:sz w:val="22"/>
          <w:szCs w:val="22"/>
        </w:rPr>
        <w:lastRenderedPageBreak/>
        <w:t>1.405.000,-Ft bevétel érkezett. Egyéb bírságokból (engedély nélküli közterület használat, engedély nélküli hangosreklám, közösségi együttélés szabályainak megsértése, állatvédelmi szabályok megsértése) 389.500,-Ft-ot könyvelhettünk le.</w:t>
      </w:r>
    </w:p>
    <w:p w:rsidR="001B1D7D" w:rsidRPr="00021EF0" w:rsidRDefault="001B1D7D" w:rsidP="001B1D7D">
      <w:pPr>
        <w:overflowPunct/>
        <w:autoSpaceDE/>
        <w:autoSpaceDN/>
        <w:adjustRightInd/>
        <w:spacing w:line="360" w:lineRule="auto"/>
        <w:jc w:val="both"/>
        <w:textAlignment w:val="auto"/>
        <w:rPr>
          <w:sz w:val="22"/>
          <w:szCs w:val="22"/>
        </w:rPr>
      </w:pPr>
      <w:r w:rsidRPr="00021EF0">
        <w:rPr>
          <w:bCs/>
          <w:sz w:val="22"/>
          <w:szCs w:val="22"/>
        </w:rPr>
        <w:t xml:space="preserve">A </w:t>
      </w:r>
      <w:r w:rsidRPr="00021EF0">
        <w:rPr>
          <w:sz w:val="22"/>
          <w:szCs w:val="22"/>
        </w:rPr>
        <w:t xml:space="preserve">környezetterhelési díjról szóló 2003. évi LXXXIX. törvény alapján a </w:t>
      </w:r>
      <w:r w:rsidRPr="00021EF0">
        <w:rPr>
          <w:b/>
          <w:sz w:val="22"/>
          <w:szCs w:val="22"/>
        </w:rPr>
        <w:t>talajterhelési díj</w:t>
      </w:r>
      <w:r w:rsidRPr="00021EF0">
        <w:rPr>
          <w:sz w:val="22"/>
          <w:szCs w:val="22"/>
        </w:rPr>
        <w:t xml:space="preserve"> bevezetésével a törvényalkotó célja az volt, hogy senkinek se legyen előnyösebb a környezet szempontjából rosszabb megoldást választani és a jelentős költségvetési támogatással megépült közművekre rá nem kötő lakosok talajterhelési díjat fizessenek. Talajterhelési díj fizetésére kötelezett az a kibocsátó, aki a műszakilag rendelkezésre álló közcsatornára nem köt rá. A vonatkozó jogszabályok értelmében azon ingatlanokra került kivetésre a talajterhelési díj, ahol a DMRV Zrt. hivatalos tájékoztatása szerint nem rendelkeznek az ingatlanhoz kapcsolódó csatorna bekötéssel. A talajterhelési díjból származó bevétel 2024. 5.297.991</w:t>
      </w:r>
      <w:r w:rsidRPr="00021EF0">
        <w:rPr>
          <w:bCs/>
          <w:sz w:val="22"/>
          <w:szCs w:val="22"/>
        </w:rPr>
        <w:t>,-Ft</w:t>
      </w:r>
      <w:r w:rsidRPr="00021EF0">
        <w:rPr>
          <w:sz w:val="22"/>
          <w:szCs w:val="22"/>
        </w:rPr>
        <w:t xml:space="preserve"> volt.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egyéb közhatalmi bevételek</w:t>
      </w:r>
      <w:r w:rsidRPr="00021EF0">
        <w:rPr>
          <w:sz w:val="22"/>
          <w:szCs w:val="22"/>
        </w:rPr>
        <w:t xml:space="preserve"> teljesítése 729.000,-Ft. Kéményseprő-ipari tevékenység költségtérítéséből 43.400,-Ft, fellebbezési illetékből 685.600,-Ft bevételt könyvelhettünk le. </w:t>
      </w:r>
    </w:p>
    <w:p w:rsidR="001B1D7D" w:rsidRPr="00021EF0" w:rsidRDefault="001B1D7D" w:rsidP="001B1D7D">
      <w:pPr>
        <w:numPr>
          <w:ilvl w:val="12"/>
          <w:numId w:val="0"/>
        </w:numPr>
        <w:overflowPunct/>
        <w:autoSpaceDE/>
        <w:autoSpaceDN/>
        <w:adjustRightInd/>
        <w:spacing w:line="360" w:lineRule="auto"/>
        <w:jc w:val="both"/>
        <w:textAlignment w:val="auto"/>
        <w:rPr>
          <w:sz w:val="22"/>
          <w:szCs w:val="22"/>
          <w:lang w:val="x-none" w:eastAsia="x-none"/>
        </w:rPr>
      </w:pPr>
    </w:p>
    <w:p w:rsidR="001B1D7D" w:rsidRPr="00021EF0" w:rsidRDefault="001B1D7D" w:rsidP="001B1D7D">
      <w:pPr>
        <w:numPr>
          <w:ilvl w:val="12"/>
          <w:numId w:val="0"/>
        </w:numPr>
        <w:overflowPunct/>
        <w:autoSpaceDE/>
        <w:autoSpaceDN/>
        <w:adjustRightInd/>
        <w:spacing w:line="360" w:lineRule="auto"/>
        <w:jc w:val="both"/>
        <w:textAlignment w:val="auto"/>
        <w:rPr>
          <w:b/>
          <w:sz w:val="22"/>
          <w:szCs w:val="22"/>
        </w:rPr>
      </w:pPr>
      <w:r w:rsidRPr="00021EF0">
        <w:rPr>
          <w:b/>
          <w:sz w:val="22"/>
          <w:szCs w:val="22"/>
        </w:rPr>
        <w:t xml:space="preserve">Működési bevételek </w:t>
      </w:r>
    </w:p>
    <w:p w:rsidR="001B1D7D" w:rsidRPr="00021EF0" w:rsidRDefault="001B1D7D" w:rsidP="001B1D7D">
      <w:pPr>
        <w:numPr>
          <w:ilvl w:val="12"/>
          <w:numId w:val="0"/>
        </w:numPr>
        <w:overflowPunct/>
        <w:autoSpaceDE/>
        <w:autoSpaceDN/>
        <w:adjustRightInd/>
        <w:spacing w:line="360" w:lineRule="auto"/>
        <w:jc w:val="both"/>
        <w:textAlignment w:val="auto"/>
        <w:rPr>
          <w:sz w:val="22"/>
          <w:szCs w:val="22"/>
        </w:rPr>
      </w:pPr>
      <w:r w:rsidRPr="00021EF0">
        <w:rPr>
          <w:sz w:val="22"/>
          <w:szCs w:val="22"/>
        </w:rPr>
        <w:t xml:space="preserve">A működési bevételekből befolyt összeg 1.526.129.582,-Ft volt. </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Az intézmények 718.389.143,-Ft bevételt realizáltak, az Önkormányzat működési bevétele 807.740.439,-Ft volt. </w:t>
      </w:r>
    </w:p>
    <w:p w:rsidR="001B1D7D" w:rsidRPr="00021EF0" w:rsidRDefault="001B1D7D" w:rsidP="001B1D7D">
      <w:pPr>
        <w:overflowPunct/>
        <w:autoSpaceDE/>
        <w:autoSpaceDN/>
        <w:adjustRightInd/>
        <w:spacing w:line="360" w:lineRule="auto"/>
        <w:ind w:right="-2"/>
        <w:jc w:val="both"/>
        <w:textAlignment w:val="auto"/>
        <w:rPr>
          <w:sz w:val="22"/>
          <w:szCs w:val="22"/>
        </w:rPr>
      </w:pPr>
    </w:p>
    <w:p w:rsidR="001B1D7D" w:rsidRPr="00021EF0" w:rsidRDefault="001B1D7D" w:rsidP="001B1D7D">
      <w:pPr>
        <w:pStyle w:val="NormlWeb"/>
        <w:spacing w:after="0" w:line="360" w:lineRule="auto"/>
        <w:jc w:val="both"/>
        <w:rPr>
          <w:bCs/>
          <w:iCs/>
          <w:color w:val="000000"/>
          <w:sz w:val="22"/>
          <w:szCs w:val="22"/>
        </w:rPr>
      </w:pPr>
      <w:r w:rsidRPr="00021EF0">
        <w:rPr>
          <w:b/>
          <w:sz w:val="22"/>
          <w:szCs w:val="22"/>
        </w:rPr>
        <w:t>Készletértékesítésbő</w:t>
      </w:r>
      <w:r w:rsidRPr="00021EF0">
        <w:rPr>
          <w:sz w:val="22"/>
          <w:szCs w:val="22"/>
        </w:rPr>
        <w:t xml:space="preserve">l az Önkormányzathoz 1.108.397,-Ft folyt be könyvek, társasjátékok, matricák és egyéb ajándéktárgyak értékesítéséből. A Polgármesteri Hivatal  bevétele 1.530.000,-Ft volt </w:t>
      </w:r>
      <w:r w:rsidRPr="00021EF0">
        <w:rPr>
          <w:bCs/>
          <w:iCs/>
          <w:color w:val="000000"/>
          <w:sz w:val="22"/>
          <w:szCs w:val="22"/>
        </w:rPr>
        <w:t>(ajándékutalványok átszámlázása az Önkormányzat részére).</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 </w:t>
      </w:r>
      <w:r w:rsidRPr="00021EF0">
        <w:rPr>
          <w:b/>
          <w:sz w:val="22"/>
          <w:szCs w:val="22"/>
        </w:rPr>
        <w:t xml:space="preserve">szolgáltatásokból </w:t>
      </w:r>
      <w:r w:rsidRPr="00021EF0">
        <w:rPr>
          <w:sz w:val="22"/>
          <w:szCs w:val="22"/>
        </w:rPr>
        <w:t>44.255.855,-Ft bevételt könyvelhettünk le.  Az Önkormányzatnál 23.206.578,-Ft a teljesítés, ebből 10.540.238,-Ft jegyértékesítésből, 12.666.340,-Ft üdülőhasználati díjból származik. A Polgármesteri Hivatal 3.535.426,-Ft bevételt realizált esküvői szolgáltatásokból. A Dunakeszi Óvodai és Humán Szolgáltató Központ és Könyvtár bevétele 10.661.951,-Ft a napközis tábor eszközhasználati díjából, könyvtári beiratkozási díjakból, gyermekfelügyeleti díjból (rapid bölcsőde), főiskolások gyakorlati oktatásából. A Városi Sportigazgatósághoz táborszervezési díjból 3.189.500,-Ft bevétel érkezett. A Révész István Helytörténeti Gyűjtemény bevétele 150.000,-Ft újságcikk megírásából, tárlatvezetésből. A Dunakeszi Szakrendelő bevétele 3.512.400,-Ft volt a térítési díjköteles szolgálatásokból, valamint a biztosítással nem rendelkező betegek ellátásából.</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b/>
          <w:sz w:val="22"/>
          <w:szCs w:val="22"/>
        </w:rPr>
        <w:t>Lakásbérleti díjakból</w:t>
      </w:r>
      <w:r w:rsidRPr="00021EF0">
        <w:rPr>
          <w:sz w:val="22"/>
          <w:szCs w:val="22"/>
        </w:rPr>
        <w:t>, illetve a bérlakásokhoz kapcsolódó továbbszámlázott közüzemi költségekből együttesen 21.893.655,-Ft bevétel érkezett az Önkormányzathoz.</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Az </w:t>
      </w:r>
      <w:r w:rsidRPr="00021EF0">
        <w:rPr>
          <w:b/>
          <w:sz w:val="22"/>
          <w:szCs w:val="22"/>
        </w:rPr>
        <w:t>egyéb önkormányzati vagyon bérbeadásából</w:t>
      </w:r>
      <w:r w:rsidRPr="00021EF0">
        <w:rPr>
          <w:sz w:val="22"/>
          <w:szCs w:val="22"/>
        </w:rPr>
        <w:t xml:space="preserve"> 56.308.080,-Ft bevételt könyvelhettünk le az alábbiak szerint: közterületen kijelölt parkoló területbérleti díj bevétel 18.150.624,-Ft, közterület foglalási díj 6.071.639,-Ft, helyiségbérleti díj 3.683.432,-Ft, területbérlet, egyéb bérlet 28.402.385,-Ft.</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lastRenderedPageBreak/>
        <w:t xml:space="preserve">A </w:t>
      </w:r>
      <w:r w:rsidRPr="00021EF0">
        <w:rPr>
          <w:b/>
          <w:sz w:val="22"/>
          <w:szCs w:val="22"/>
        </w:rPr>
        <w:t>közvetített szolgáltatásokból</w:t>
      </w:r>
      <w:r w:rsidRPr="00021EF0">
        <w:rPr>
          <w:sz w:val="22"/>
          <w:szCs w:val="22"/>
        </w:rPr>
        <w:t xml:space="preserve"> 29.137.954,-Ft folyt be, ebből az Önkormányzat bevétele 26.587.088,-Ft, telefondíjak, közüzemi díjak, valamint a védőnői feladatellátás továbbszámlázásából. A Polgármesteri Hivatalnál a telefon és internetdíjak számlázásából 2.550.866,-Ft bevétel keletkezett.</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Az intézményeknél az </w:t>
      </w:r>
      <w:r w:rsidRPr="00021EF0">
        <w:rPr>
          <w:b/>
          <w:sz w:val="22"/>
          <w:szCs w:val="22"/>
        </w:rPr>
        <w:t>étkezési térítési díj</w:t>
      </w:r>
      <w:r w:rsidRPr="00021EF0">
        <w:rPr>
          <w:sz w:val="22"/>
          <w:szCs w:val="22"/>
        </w:rPr>
        <w:t xml:space="preserve"> összege 430.557.595,-Ft volt. </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 </w:t>
      </w:r>
      <w:r w:rsidRPr="00021EF0">
        <w:rPr>
          <w:b/>
          <w:sz w:val="22"/>
          <w:szCs w:val="22"/>
        </w:rPr>
        <w:t>kiszámlázott ÁFA</w:t>
      </w:r>
      <w:r w:rsidRPr="00021EF0">
        <w:rPr>
          <w:sz w:val="22"/>
          <w:szCs w:val="22"/>
        </w:rPr>
        <w:t xml:space="preserve"> teljesítése 150.878.709,-Ft, ebből 117.622.765,-Ft az intézményeknél, 33.255.944,-Ft az Önkormányzatnál jelenik meg. A teljesítés arányos az ÁFA köteles bevételi jogcímeknél jelentkező teljesítéssel. </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b/>
          <w:sz w:val="22"/>
          <w:szCs w:val="22"/>
        </w:rPr>
        <w:t>Általános forgalmi adó visszatérüléséből</w:t>
      </w:r>
      <w:r w:rsidRPr="00021EF0">
        <w:rPr>
          <w:sz w:val="22"/>
          <w:szCs w:val="22"/>
        </w:rPr>
        <w:t xml:space="preserve"> 124.286.000,-Ft bevétel származott. Az Önkormányzat a közvetített szolgáltatásokhoz kapcsolódóan, a DÓHSZK az étkeztetési feladattal összefüggésben jogosult ÁFA visszatérülésre. </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b/>
          <w:sz w:val="22"/>
          <w:szCs w:val="22"/>
        </w:rPr>
        <w:t>Kamatbevételekből</w:t>
      </w:r>
      <w:r w:rsidRPr="00021EF0">
        <w:rPr>
          <w:sz w:val="22"/>
          <w:szCs w:val="22"/>
        </w:rPr>
        <w:t xml:space="preserve"> 616.281.344,-Ft-ot realizáltunk, az intézményeknél 10.498.495,-Ft a teljesítés. Az Önkormányzat bevétele 605.782.849,-Ft, ebből 43.377.024,-Ft az Önkormányzati Magyar Államkötvény kamata, 562.405.825,-Ft folyószámlakamat.</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b/>
          <w:sz w:val="22"/>
          <w:szCs w:val="22"/>
        </w:rPr>
        <w:t xml:space="preserve">Biztosító által fizetett kártérítés </w:t>
      </w:r>
      <w:r w:rsidRPr="00021EF0">
        <w:rPr>
          <w:sz w:val="22"/>
          <w:szCs w:val="22"/>
        </w:rPr>
        <w:t>796.296,-Ft volt. A kártérítést a Fő út – Bajcsy Zsilinszky utca kereszteződésénél megrongált poller miatt fizette a biztosító.</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Az</w:t>
      </w:r>
      <w:r w:rsidRPr="00021EF0">
        <w:rPr>
          <w:b/>
          <w:sz w:val="22"/>
          <w:szCs w:val="22"/>
        </w:rPr>
        <w:t xml:space="preserve"> egyéb működési</w:t>
      </w:r>
      <w:r w:rsidRPr="00021EF0">
        <w:rPr>
          <w:sz w:val="22"/>
          <w:szCs w:val="22"/>
        </w:rPr>
        <w:t xml:space="preserve"> bevételek teljesítése 49.095.697,-Ft.  Itt jelennek meg a költségek visszatérülései (pl. végrehajtási költségek, perköltségek, közüzemi költségek), a kártérítések, valamint minden olyan bevétel, amely más jogcímen nem számolható el. A Polgármesteri Hivatal bevétele 106.597,-Ft költségek visszatérítéséből és pénztári kerekítési különbözetekből. A DÓHSZK bevétele 15.759.730,-Ft költségek visszatérítéséből, kerekítésből. A Városi Sportigazgatóság teljesítése 3.187,-Ft a Révész István Helytörténeti Gyűjtemény bevétele 4.605,-Ft, a Dunakeszi Szakrendelő bevétele 26,-Ft volt kerekítési különbözetből. Az Önkormányzatnál 33.221.552,-Ft a teljesítés. Közüzemi költségek, egyéb költségek visszatérítéséből 3.130.453,-Ft bevétel érkezett. Fapótlás pénzbeli megváltására 321.100,-Ft-ot fizettek be. A használati díjból 311.663,-Ft bevételt könyvelhettünk le. A Dunakeszi kártya kiváltásának díja, valamint a kerekítési különbözet együttes összege 175.326,-Ft volt. A közterületen elhagyott gépjárművek elszállításának költségére 691.747,-Ft-ot fizettek be. A Dunakeszi Diáknegyed építéséhez kapcsolódó kisajátítások, perköltségek, kamatok összegéből 28.294.738,-Ft visszatérítés érkezett. Támogatás visszafizetéséből 102.300,-Ft, lakásértékesítéshez kapcsolódó késedelmi kamatból 194.225,-Ft bevételt könyvelhettünk le. </w:t>
      </w:r>
    </w:p>
    <w:p w:rsidR="001B1D7D" w:rsidRPr="00021EF0" w:rsidRDefault="001B1D7D" w:rsidP="001B1D7D">
      <w:pPr>
        <w:overflowPunct/>
        <w:autoSpaceDE/>
        <w:autoSpaceDN/>
        <w:adjustRightInd/>
        <w:spacing w:line="360" w:lineRule="auto"/>
        <w:ind w:right="-2"/>
        <w:jc w:val="both"/>
        <w:textAlignment w:val="auto"/>
        <w:rPr>
          <w:sz w:val="22"/>
          <w:szCs w:val="22"/>
        </w:rPr>
      </w:pPr>
    </w:p>
    <w:p w:rsidR="001B1D7D" w:rsidRPr="00021EF0" w:rsidRDefault="001B1D7D" w:rsidP="001B1D7D">
      <w:pPr>
        <w:overflowPunct/>
        <w:autoSpaceDE/>
        <w:autoSpaceDN/>
        <w:adjustRightInd/>
        <w:jc w:val="both"/>
        <w:textAlignment w:val="auto"/>
        <w:rPr>
          <w:b/>
          <w:sz w:val="22"/>
          <w:szCs w:val="22"/>
        </w:rPr>
      </w:pPr>
      <w:r w:rsidRPr="00021EF0">
        <w:rPr>
          <w:b/>
          <w:sz w:val="22"/>
          <w:szCs w:val="22"/>
        </w:rPr>
        <w:t>Felhalmozási bevételek</w:t>
      </w:r>
    </w:p>
    <w:p w:rsidR="001B1D7D" w:rsidRPr="00021EF0" w:rsidRDefault="001B1D7D" w:rsidP="001B1D7D">
      <w:pPr>
        <w:overflowPunct/>
        <w:autoSpaceDE/>
        <w:autoSpaceDN/>
        <w:adjustRightInd/>
        <w:jc w:val="both"/>
        <w:textAlignment w:val="auto"/>
        <w:rPr>
          <w:b/>
          <w:sz w:val="22"/>
          <w:szCs w:val="22"/>
        </w:rPr>
      </w:pPr>
    </w:p>
    <w:p w:rsidR="001B1D7D" w:rsidRPr="00021EF0" w:rsidRDefault="001B1D7D" w:rsidP="001B1D7D">
      <w:pPr>
        <w:overflowPunct/>
        <w:autoSpaceDE/>
        <w:autoSpaceDN/>
        <w:adjustRightInd/>
        <w:jc w:val="both"/>
        <w:textAlignment w:val="auto"/>
        <w:rPr>
          <w:b/>
          <w:sz w:val="22"/>
          <w:szCs w:val="22"/>
        </w:rPr>
      </w:pPr>
      <w:r w:rsidRPr="00021EF0">
        <w:rPr>
          <w:sz w:val="22"/>
          <w:szCs w:val="22"/>
        </w:rPr>
        <w:t>A felhalmozási bevételek teljesítése 417.489.591,-Ft.</w:t>
      </w:r>
    </w:p>
    <w:p w:rsidR="001B1D7D" w:rsidRPr="00021EF0" w:rsidRDefault="001B1D7D" w:rsidP="001B1D7D">
      <w:pPr>
        <w:pStyle w:val="NormlWeb"/>
        <w:tabs>
          <w:tab w:val="left" w:pos="1005"/>
        </w:tabs>
        <w:spacing w:after="0"/>
        <w:jc w:val="both"/>
        <w:rPr>
          <w:sz w:val="22"/>
          <w:szCs w:val="22"/>
        </w:rPr>
      </w:pPr>
    </w:p>
    <w:p w:rsidR="001B1D7D" w:rsidRPr="00021EF0" w:rsidRDefault="001B1D7D" w:rsidP="001B1D7D">
      <w:pPr>
        <w:spacing w:line="360" w:lineRule="auto"/>
        <w:jc w:val="both"/>
        <w:outlineLvl w:val="1"/>
        <w:rPr>
          <w:sz w:val="22"/>
          <w:szCs w:val="22"/>
        </w:rPr>
      </w:pPr>
      <w:r w:rsidRPr="00021EF0">
        <w:rPr>
          <w:sz w:val="22"/>
          <w:szCs w:val="22"/>
        </w:rPr>
        <w:t xml:space="preserve">Az </w:t>
      </w:r>
      <w:r w:rsidRPr="00021EF0">
        <w:rPr>
          <w:b/>
          <w:sz w:val="22"/>
          <w:szCs w:val="22"/>
        </w:rPr>
        <w:t>egyéb</w:t>
      </w:r>
      <w:r w:rsidRPr="00021EF0">
        <w:rPr>
          <w:sz w:val="22"/>
          <w:szCs w:val="22"/>
        </w:rPr>
        <w:t xml:space="preserve"> </w:t>
      </w:r>
      <w:r w:rsidRPr="00021EF0">
        <w:rPr>
          <w:b/>
          <w:sz w:val="22"/>
          <w:szCs w:val="22"/>
        </w:rPr>
        <w:t>felhalmozási célú támogatások</w:t>
      </w:r>
      <w:r w:rsidRPr="00021EF0">
        <w:rPr>
          <w:sz w:val="22"/>
          <w:szCs w:val="22"/>
        </w:rPr>
        <w:t xml:space="preserve"> teljesítése 335.975.000,-Ft. </w:t>
      </w:r>
      <w:r w:rsidRPr="00021EF0">
        <w:rPr>
          <w:color w:val="000000"/>
          <w:sz w:val="22"/>
          <w:szCs w:val="22"/>
        </w:rPr>
        <w:t xml:space="preserve">A Nemzeti Hulladékgazdálkodási Koordináló és Vagyonkezelő Zrt. a Tisztítsuk meg az országot II. hulladékfelszámolási pályázat keretében 22.500.000,-Ft támogatásban részesítette Önkormányzatunkat, ebből 9.000.000,-Ft felhalmozási célt szolgál. A Miniszterelnökség 24.975.000,-Ft utalt az  Aktív </w:t>
      </w:r>
      <w:r w:rsidRPr="00021EF0">
        <w:rPr>
          <w:color w:val="000000"/>
          <w:sz w:val="22"/>
          <w:szCs w:val="22"/>
        </w:rPr>
        <w:lastRenderedPageBreak/>
        <w:t xml:space="preserve">Magyarország Program keretében „Kerékpáros Pumpapálya Kialakítása Dunakeszin 2024” projektre. Pest Vármegye Önkormányzata 302.000.000,-Ft támogatást nyújtott, ebből 42.000.000,-Ft a Dunakeszi Fillér köz egy részének útfelújítását, a Zápolya utca, a Nándori utca és a Vasút utca egy részén járda építését és felújítását szolgálja. A fennmaradó 260.000.000,-Ft a </w:t>
      </w:r>
      <w:r w:rsidRPr="00021EF0">
        <w:rPr>
          <w:sz w:val="22"/>
          <w:szCs w:val="22"/>
        </w:rPr>
        <w:t xml:space="preserve"> Kossuth Lajos utca három és a Szent István utca egy szakaszának felújítására kapott támogatás.</w:t>
      </w:r>
    </w:p>
    <w:p w:rsidR="001B1D7D" w:rsidRPr="00021EF0" w:rsidRDefault="001B1D7D" w:rsidP="001B1D7D">
      <w:pPr>
        <w:spacing w:line="360" w:lineRule="auto"/>
        <w:jc w:val="both"/>
        <w:outlineLvl w:val="1"/>
        <w:rPr>
          <w:sz w:val="22"/>
          <w:szCs w:val="22"/>
        </w:rPr>
      </w:pPr>
      <w:r w:rsidRPr="00021EF0">
        <w:rPr>
          <w:b/>
          <w:sz w:val="22"/>
          <w:szCs w:val="22"/>
        </w:rPr>
        <w:t>Ingatlanok értékesítéséből</w:t>
      </w:r>
      <w:r w:rsidRPr="00021EF0">
        <w:rPr>
          <w:sz w:val="22"/>
          <w:szCs w:val="22"/>
        </w:rPr>
        <w:t xml:space="preserve"> 67.010.546,-Ft bevétel keletkezett, ebből a 7601/78 ingatlan értékesítéséből 57.500.000,- Ft, a  6248 hrsz. ingatlanból 83 négyzetméter ingatlanrész (telek) eladásából 6.164.102,-Ft, a 6201/2 hrsz. 7 m2 nagyságú terület értékesítéséből 452.880,-Ft  folyt be. A fennmaradó 2.893,564,-Ft az önkormányzati lakások értékesítéséből származik.</w:t>
      </w:r>
    </w:p>
    <w:p w:rsidR="001B1D7D" w:rsidRPr="00021EF0" w:rsidRDefault="001B1D7D" w:rsidP="001B1D7D">
      <w:pPr>
        <w:spacing w:line="360" w:lineRule="auto"/>
        <w:jc w:val="both"/>
        <w:outlineLvl w:val="1"/>
        <w:rPr>
          <w:sz w:val="22"/>
          <w:szCs w:val="22"/>
        </w:rPr>
      </w:pPr>
      <w:r w:rsidRPr="00021EF0">
        <w:rPr>
          <w:b/>
          <w:sz w:val="22"/>
          <w:szCs w:val="22"/>
        </w:rPr>
        <w:t>Tárgyi eszköz értékesítésből</w:t>
      </w:r>
      <w:r w:rsidRPr="00021EF0">
        <w:rPr>
          <w:sz w:val="22"/>
          <w:szCs w:val="22"/>
        </w:rPr>
        <w:t xml:space="preserve"> 257.480,-Ft folyt be.</w:t>
      </w:r>
    </w:p>
    <w:p w:rsidR="001B1D7D" w:rsidRPr="00021EF0" w:rsidRDefault="001B1D7D" w:rsidP="001B1D7D">
      <w:pPr>
        <w:overflowPunct/>
        <w:autoSpaceDE/>
        <w:autoSpaceDN/>
        <w:adjustRightInd/>
        <w:spacing w:line="360" w:lineRule="auto"/>
        <w:ind w:right="-2"/>
        <w:jc w:val="both"/>
        <w:textAlignment w:val="auto"/>
        <w:rPr>
          <w:sz w:val="22"/>
          <w:szCs w:val="22"/>
        </w:rPr>
      </w:pPr>
      <w:r w:rsidRPr="00021EF0">
        <w:rPr>
          <w:sz w:val="22"/>
          <w:szCs w:val="22"/>
        </w:rPr>
        <w:t xml:space="preserve">Az esővízgyűjtő tartályokra kiírt pályázat keretében 12.446.565,-Ft-ot, közérdekű kötelezettségvállalásként a 07/122 hrsz. ingatlanrész megszerzéséhez 1.800.000,-Ft-ot fizettek be, a bevételek az </w:t>
      </w:r>
      <w:r w:rsidRPr="00021EF0">
        <w:rPr>
          <w:b/>
          <w:sz w:val="22"/>
          <w:szCs w:val="22"/>
        </w:rPr>
        <w:t>egyéb felhalmozási célú átvett pénzeszközök</w:t>
      </w:r>
      <w:r w:rsidRPr="00021EF0">
        <w:rPr>
          <w:sz w:val="22"/>
          <w:szCs w:val="22"/>
        </w:rPr>
        <w:t xml:space="preserve"> jogcímen jelennek meg.</w:t>
      </w:r>
    </w:p>
    <w:p w:rsidR="001B1D7D" w:rsidRPr="00021EF0" w:rsidRDefault="001B1D7D" w:rsidP="001B1D7D">
      <w:pPr>
        <w:spacing w:line="360" w:lineRule="auto"/>
        <w:jc w:val="both"/>
        <w:outlineLvl w:val="1"/>
        <w:rPr>
          <w:sz w:val="22"/>
          <w:szCs w:val="22"/>
        </w:rPr>
      </w:pPr>
    </w:p>
    <w:p w:rsidR="001B1D7D" w:rsidRPr="00021EF0" w:rsidRDefault="001B1D7D" w:rsidP="001B1D7D">
      <w:pPr>
        <w:overflowPunct/>
        <w:autoSpaceDE/>
        <w:autoSpaceDN/>
        <w:adjustRightInd/>
        <w:spacing w:line="360" w:lineRule="auto"/>
        <w:ind w:right="-2"/>
        <w:jc w:val="both"/>
        <w:textAlignment w:val="auto"/>
        <w:rPr>
          <w:b/>
          <w:sz w:val="22"/>
          <w:szCs w:val="22"/>
        </w:rPr>
      </w:pPr>
      <w:r w:rsidRPr="00021EF0">
        <w:rPr>
          <w:b/>
          <w:sz w:val="22"/>
          <w:szCs w:val="22"/>
        </w:rPr>
        <w:t>FINANSZÍROZÁSI BEVÉTELEK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finanszírozási bevételek teljesítése összességében 8.040.785.915,-Ft. </w:t>
      </w:r>
    </w:p>
    <w:p w:rsidR="001B1D7D" w:rsidRPr="00021EF0" w:rsidRDefault="001B1D7D" w:rsidP="001B1D7D">
      <w:pPr>
        <w:overflowPunct/>
        <w:autoSpaceDE/>
        <w:autoSpaceDN/>
        <w:adjustRightInd/>
        <w:spacing w:line="360" w:lineRule="auto"/>
        <w:jc w:val="both"/>
        <w:textAlignment w:val="auto"/>
        <w:rPr>
          <w:b/>
          <w:bCs/>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bCs/>
          <w:sz w:val="22"/>
          <w:szCs w:val="22"/>
        </w:rPr>
        <w:t>Előző évi maradványként</w:t>
      </w:r>
      <w:r w:rsidRPr="00021EF0">
        <w:rPr>
          <w:bCs/>
          <w:sz w:val="22"/>
          <w:szCs w:val="22"/>
        </w:rPr>
        <w:t xml:space="preserve"> az előirányzatban és a felhasználásban is 7.913.057.682,-Ft jelenik meg.</w:t>
      </w:r>
      <w:r w:rsidRPr="00021EF0">
        <w:rPr>
          <w:sz w:val="22"/>
          <w:szCs w:val="22"/>
        </w:rPr>
        <w:t xml:space="preserve">   </w:t>
      </w:r>
    </w:p>
    <w:p w:rsidR="001B1D7D" w:rsidRPr="00021EF0" w:rsidRDefault="001B1D7D" w:rsidP="001B1D7D">
      <w:pPr>
        <w:overflowPunct/>
        <w:autoSpaceDE/>
        <w:autoSpaceDN/>
        <w:adjustRightInd/>
        <w:spacing w:line="360" w:lineRule="auto"/>
        <w:jc w:val="both"/>
        <w:textAlignment w:val="auto"/>
        <w:rPr>
          <w:b/>
          <w:sz w:val="22"/>
          <w:szCs w:val="22"/>
        </w:rPr>
      </w:pPr>
      <w:r w:rsidRPr="00021EF0">
        <w:rPr>
          <w:bCs/>
          <w:sz w:val="22"/>
          <w:szCs w:val="22"/>
        </w:rPr>
        <w:t xml:space="preserve">Az </w:t>
      </w:r>
      <w:r w:rsidRPr="00021EF0">
        <w:rPr>
          <w:b/>
          <w:sz w:val="22"/>
          <w:szCs w:val="22"/>
        </w:rPr>
        <w:t>államháztartáson belüli megelőlegezések</w:t>
      </w:r>
      <w:r w:rsidRPr="00021EF0">
        <w:rPr>
          <w:bCs/>
          <w:sz w:val="22"/>
          <w:szCs w:val="22"/>
        </w:rPr>
        <w:t xml:space="preserve"> sor teljesítése 127.728.233,-Ft. Az adott hónapban, ha az Önkormányzatnak több a befizetési kötelezettsége (egészségügyi hozzájárulás, szociális hozzájárulási adó, szolidaritási hozzájárulási adó, táppénz hozzájárulás, munkavállalóktól levont SZJA, nyugdíjbiztosítás, egészségbiztosítás) mint amennyi támogatás megilletné, akkor a különbözetet államháztartáson belüli megelőlegezésként kell nyilvántartani. Ilyen jogcímen 352.862,-Ft bevételt kellett lekönyvelnünk a közfoglalkoztatás feladaton, mert a közfoglalkoztatásra a támogatást utófinanszírozással fizetik ki. A Kincstár a megelőlegezett összeget az Önkormányzat számlájáról leemeli, ezért, mint államháztartáson belüli megelőlegezés visszafizetése a kiadások között is megjelenik. A könyvelés technikai jellegű. Az éven belüli megelőlegezések, mivel azonos összegben a bevételi és a kiadási oldalon is megjelennek, pluszforrást nem igényelnek.</w:t>
      </w:r>
      <w:r w:rsidRPr="00021EF0">
        <w:rPr>
          <w:b/>
          <w:sz w:val="22"/>
          <w:szCs w:val="22"/>
        </w:rPr>
        <w:t xml:space="preserve"> </w:t>
      </w:r>
    </w:p>
    <w:p w:rsidR="001B1D7D" w:rsidRPr="00021EF0" w:rsidRDefault="001B1D7D" w:rsidP="001B1D7D">
      <w:pPr>
        <w:overflowPunct/>
        <w:autoSpaceDE/>
        <w:autoSpaceDN/>
        <w:adjustRightInd/>
        <w:spacing w:line="360" w:lineRule="auto"/>
        <w:jc w:val="both"/>
        <w:textAlignment w:val="auto"/>
      </w:pPr>
      <w:r w:rsidRPr="00021EF0">
        <w:rPr>
          <w:sz w:val="22"/>
          <w:szCs w:val="22"/>
        </w:rPr>
        <w:t xml:space="preserve">A központi költségvetés minden év végén előleget utal az Önkormányzatok számára a következő évi támogatás terhére. </w:t>
      </w:r>
      <w:r w:rsidRPr="00021EF0">
        <w:rPr>
          <w:bCs/>
          <w:sz w:val="22"/>
          <w:szCs w:val="22"/>
        </w:rPr>
        <w:t>Önkormányzatunk 2024. év végén a 2025. évi támogatás terhére 127.375.371,-Ft előleget kapott.</w:t>
      </w:r>
      <w:r w:rsidRPr="00021EF0">
        <w:rPr>
          <w:sz w:val="22"/>
          <w:szCs w:val="22"/>
        </w:rPr>
        <w:t xml:space="preserve"> Ezzel az előleggel 2025. január hónapban kellett elszámolnunk.</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 xml:space="preserve">Forgatási célú belföldi értékpapírok beváltása </w:t>
      </w:r>
      <w:r w:rsidRPr="00021EF0">
        <w:rPr>
          <w:sz w:val="22"/>
          <w:szCs w:val="22"/>
        </w:rPr>
        <w:t>soron 420.320.000,-Ft Önkormányzati kötvény értékesítést terveztünk. Likviditási helyzetünk nem indokolta a kötvény eladását, ezért nincs teljesítés, ennek megfelelően alakítottuk a módosított előirányzat összegét is.</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tervszerű gazdálkodás eredményeként hitel, illetve folyószámlahitel igénybevétele 2024. évben nem vált szükségessé.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021EF0">
        <w:rPr>
          <w:b/>
          <w:sz w:val="24"/>
          <w:szCs w:val="24"/>
        </w:rPr>
        <w:lastRenderedPageBreak/>
        <w:t>KIADÁSOK</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ind w:firstLine="708"/>
        <w:jc w:val="both"/>
        <w:textAlignment w:val="auto"/>
        <w:rPr>
          <w:sz w:val="22"/>
          <w:szCs w:val="22"/>
        </w:rPr>
      </w:pPr>
      <w:r w:rsidRPr="00021EF0">
        <w:rPr>
          <w:sz w:val="22"/>
          <w:szCs w:val="22"/>
        </w:rPr>
        <w:t xml:space="preserve">A 2024. évi költségvetés alapvető célja az volt, hogy iránymutatást adjon a 2024.év költségvetési gazdálkodásához, annak érdekében, hogy a város intézményei kiegyensúlyozottan működjenek, a városfejlesztési- üzemeltetési és környezetvédelmi céljai a lakosság igényeinek megfelelően megvalósíthatók legyenek, különös tekintettel az 2011. évi CLXXXIX. számú Helyi önkormányzatokról szóló törvényben rögzített kötelezően ellátandó feladatok körére. A város 2024. évi költségvetési rendeletében foglaltaknak megfelelően az önkormányzat és intézményei takarékos gazdálkodást folytattak, a feladatellátás minőségi szintjének biztosítása mellett.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személyi juttatásoknál a jogszabályi előírásokon alapuló kiadásokat az Önkormányzat biztosította, a költségvetési törvény előírásai, valamint más vonatkozó jogszabályi előírások szerint. A 2024. évi feladatok között is elsődleges volt a városüzemeltetés és az intézmények működtetésének zavartalan biztosítása.  Továbbra is érvényesítésre kerültek a tervszerű, szigorú és takarékos gazdálkodás követelményei.</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2024. évben intézményeink működése zökkenőmentes volt, kiemelt előirányzataikat nem lépték túl, takarékosan gazdálkodtak, a költségvetésben biztosított dologi kiadások biztosították a szükségleteket.</w:t>
      </w:r>
    </w:p>
    <w:p w:rsidR="001B1D7D" w:rsidRPr="00021EF0" w:rsidRDefault="001B1D7D" w:rsidP="001B1D7D">
      <w:pPr>
        <w:overflowPunct/>
        <w:autoSpaceDE/>
        <w:autoSpaceDN/>
        <w:adjustRightInd/>
        <w:spacing w:line="360" w:lineRule="auto"/>
        <w:jc w:val="both"/>
        <w:textAlignment w:val="auto"/>
        <w:rPr>
          <w:iCs/>
          <w:sz w:val="22"/>
          <w:szCs w:val="22"/>
        </w:rPr>
      </w:pPr>
      <w:r w:rsidRPr="00021EF0">
        <w:rPr>
          <w:iCs/>
          <w:sz w:val="22"/>
          <w:szCs w:val="22"/>
        </w:rPr>
        <w:t>A 2024. évi kiadások teljesítése 14.128.929.977,-Ft volt, ebből 10.594.210.801,-Ft a működésre, 3.414.588.466,-Ft a felhalmozásra fordított összeg. A finanszírozási kiadások teljesítése 120.130.710,-Ft volt.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spacing w:line="360" w:lineRule="auto"/>
        <w:jc w:val="both"/>
        <w:rPr>
          <w:sz w:val="22"/>
          <w:szCs w:val="22"/>
        </w:rPr>
      </w:pPr>
      <w:r w:rsidRPr="00021EF0">
        <w:rPr>
          <w:sz w:val="22"/>
          <w:szCs w:val="22"/>
        </w:rPr>
        <w:t>A kiadásokat kiemelt előirányzatonként az 5. sz. melléklet, gazdálkodónként és kiemelt előirányzatonként a 6. sz. melléklet mutatja be. Az Önkormányzat működési kiadásait feladatonként a 7. sz. melléklet részletezi. A pénzeszközátadások, támogatások részletezését a 8. sz. melléklet tartalmazza. Itt jelennek meg a támogatott szervezetek a részükre nyújtott támogatások összegével együtt. A tartalékok állománya a 9. sz. mellékletben található.</w:t>
      </w:r>
    </w:p>
    <w:p w:rsidR="001B1D7D" w:rsidRPr="00021EF0" w:rsidRDefault="001B1D7D" w:rsidP="001B1D7D">
      <w:pPr>
        <w:spacing w:line="360" w:lineRule="auto"/>
        <w:jc w:val="both"/>
        <w:rPr>
          <w:sz w:val="22"/>
          <w:szCs w:val="22"/>
        </w:rPr>
      </w:pPr>
      <w:r w:rsidRPr="00021EF0">
        <w:rPr>
          <w:sz w:val="22"/>
          <w:szCs w:val="22"/>
        </w:rPr>
        <w:t xml:space="preserve">A fejlesztési, felújítási feladatokat célonként részletesen a 10. sz. melléklet mutatja be. </w:t>
      </w:r>
    </w:p>
    <w:p w:rsidR="001B1D7D" w:rsidRPr="00021EF0" w:rsidRDefault="001B1D7D" w:rsidP="001B1D7D">
      <w:pPr>
        <w:spacing w:line="360" w:lineRule="auto"/>
        <w:jc w:val="both"/>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MŰKÖDÉSI KIADÁSOK</w:t>
      </w:r>
    </w:p>
    <w:p w:rsidR="001B1D7D" w:rsidRPr="00021EF0" w:rsidRDefault="001B1D7D" w:rsidP="001B1D7D">
      <w:pPr>
        <w:overflowPunct/>
        <w:autoSpaceDE/>
        <w:autoSpaceDN/>
        <w:adjustRightInd/>
        <w:spacing w:line="360" w:lineRule="auto"/>
        <w:jc w:val="both"/>
        <w:textAlignment w:val="auto"/>
        <w:rPr>
          <w:iCs/>
          <w:sz w:val="22"/>
          <w:szCs w:val="22"/>
        </w:rPr>
      </w:pPr>
    </w:p>
    <w:p w:rsidR="001B1D7D" w:rsidRPr="00021EF0" w:rsidRDefault="001B1D7D" w:rsidP="001B1D7D">
      <w:pPr>
        <w:overflowPunct/>
        <w:autoSpaceDE/>
        <w:autoSpaceDN/>
        <w:adjustRightInd/>
        <w:spacing w:line="360" w:lineRule="auto"/>
        <w:jc w:val="both"/>
        <w:textAlignment w:val="auto"/>
        <w:rPr>
          <w:iCs/>
          <w:sz w:val="22"/>
          <w:szCs w:val="22"/>
        </w:rPr>
      </w:pPr>
      <w:r w:rsidRPr="00021EF0">
        <w:rPr>
          <w:iCs/>
          <w:sz w:val="22"/>
          <w:szCs w:val="22"/>
        </w:rPr>
        <w:t>A működési kiadások teljesítése 10.594.210.801,-Ft.</w:t>
      </w:r>
    </w:p>
    <w:p w:rsidR="001B1D7D" w:rsidRPr="00021EF0" w:rsidRDefault="001B1D7D" w:rsidP="001B1D7D">
      <w:pPr>
        <w:overflowPunct/>
        <w:autoSpaceDE/>
        <w:autoSpaceDN/>
        <w:adjustRightInd/>
        <w:spacing w:line="360" w:lineRule="auto"/>
        <w:jc w:val="both"/>
        <w:textAlignment w:val="auto"/>
        <w:rPr>
          <w:i/>
          <w:iCs/>
          <w:sz w:val="22"/>
          <w:szCs w:val="22"/>
          <w:u w:val="single"/>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Személyi juttatások</w:t>
      </w:r>
    </w:p>
    <w:p w:rsidR="001B1D7D" w:rsidRPr="00021EF0" w:rsidRDefault="001B1D7D" w:rsidP="001B1D7D">
      <w:pPr>
        <w:overflowPunct/>
        <w:autoSpaceDE/>
        <w:autoSpaceDN/>
        <w:adjustRightInd/>
        <w:spacing w:line="360" w:lineRule="auto"/>
        <w:jc w:val="both"/>
        <w:textAlignment w:val="auto"/>
        <w:rPr>
          <w:sz w:val="22"/>
          <w:szCs w:val="22"/>
        </w:rPr>
      </w:pPr>
      <w:bookmarkStart w:id="0" w:name="_Hlk514771546"/>
      <w:r w:rsidRPr="00021EF0">
        <w:rPr>
          <w:sz w:val="22"/>
          <w:szCs w:val="22"/>
        </w:rPr>
        <w:t>A személyi juttatásokra 2024. év</w:t>
      </w:r>
      <w:bookmarkEnd w:id="0"/>
      <w:r w:rsidRPr="00021EF0">
        <w:rPr>
          <w:sz w:val="22"/>
          <w:szCs w:val="22"/>
        </w:rPr>
        <w:t xml:space="preserve">ben 3.533.118.846,-Ft-ot fizettünk ki.  Az Önkormányzat személyi juttatásainak kiadása 288.639.219,-Ft. A teljesítés magába foglalja a polgármester, az alpolgármesterek, személyi jellegű juttatásait, a képviselők tiszteletdíját, az önkormányzatnál foglalkoztatott munkavállalók bérét, a közfoglalkoztatásban résztvevők bérét, a városi kitüntetésben részesültek </w:t>
      </w:r>
      <w:r w:rsidRPr="00021EF0">
        <w:rPr>
          <w:sz w:val="22"/>
          <w:szCs w:val="22"/>
        </w:rPr>
        <w:lastRenderedPageBreak/>
        <w:t>jutalmát, a játszótér őrséget és strand őrséget ellátók juttatásait, a tanácsadó tagok, megbízottak megbízási díjait, továbbá a kiküldetések napidíjait és a reprezentációra, cafeteriára fordított kiadásokat.  A Polgármesteri Hivatalnál 688.382.032,-Ft  a személyi jellegű kifizetések teljesítése, mely tartalmazza a cafeteria juttatásokat is. A  DÓHSZK dolgozói részére kifizetett személyi jellegű kiadások összege 2.004.291.704,-Ft volt. A Városi Sportigazgatóságnál 16.288.664,-Ft-ot, a Révész István Helytörténeti Gyűjteménynél 9.158.363,-Ft-ot fizettek ki személyi juttatásokra. Év közben a járóbeteg szakellátás feladatainak ellátására új költségvetési szerv alakult Dunakeszi Város Önkormányzatának Szakorvosi Rendelőintézete  néven. Az intézmény május hónapban alakult, működését július hónapban kezdte meg. Júliustól december hónapig 526.358.864,-Ft-ot fizettek ki személyi juttatásokra.</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Munkaadókat terhelő adók és járulékok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munkaadókat terhelő közterhek teljesítése 475.271.066,-Ft. A kifizetés tartalmazza a szociális hozzájárulási adóra, a rehabilitációs hozzájárulási adóra, a táppénzhozzájárulásra megfizetett összegeket, valamint a munkáltatót terhelő személyi jövedelemadó kiadásait.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sz w:val="22"/>
          <w:szCs w:val="22"/>
        </w:rPr>
        <w:t>Do</w:t>
      </w:r>
      <w:r w:rsidRPr="00021EF0">
        <w:rPr>
          <w:b/>
          <w:iCs/>
          <w:sz w:val="22"/>
          <w:szCs w:val="22"/>
        </w:rPr>
        <w:t>logi kiadások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dologi kiadások teljesítése összességében 4.758.158.995,-Ft, az önkormányzati kiadásokat feladatonként az 7. sz. melléklet mutatja be.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Az Önkormányzat dologi kiadásainak teljesítése 2.780.806.110,-Ft, ebből a kötelező feladatok ellátására 2.050.245.088,-Ft-ot, az önként vállalt feladatok ellátására 730.561.022,-Ft-ot fordítottunk. Jelentősebb tételek feladatonként az alábbiak: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 A város közvilágításának biztosítására 287.635.843,-Ft-ot, a közutak, hidak üzemeltetési, karbantartási költségeire 143.755.262,-Ft-ot, az útépítésekhez kapcsolódó dologi kiadásokra 408.999.269,-Ft-ot fordítottunk. Parkolók fenntartására, üzemeltetésére, 36.300.824,-Ft-ot költöttünk. A város lakosságának egyre nagyobb az igénye a parkok, terek és a városi zöldterületek biztosítására, ezek fenntartására 428.414.278,-Ft-ot biztosított az önkormányzat. A városi buszközlekedés biztosításának költségei 177.879.893,-Ft-ot tettek ki. Illegális hulladék ártalmatlanításra 1.463.257,-Ft-ot, a csapadékvíz elvezetésére, összegyűjtésére, kezelésére, árkok tisztítására, víznyelők, szikkasztók, árkok kialakításával kapcsolatos működési kiadásokra 32.221.004,-Ft-ot költöttünk. Az önkormányzati vagyon gazdálkodásával kapcsolatos költségek 46.401.196,-Ft-ot tettek ki, itt jelennek meg többek között a lakások közüzemi díjai, a telekalakítással kapcsolatos költségek, a földmérés, ingatlanértékbecslés összegei, a társasházi közös költségre fordított kiadások. Egészségfejlesztő programokra – szűrőnapok, rendkívüli rendelési napok – 14.480.000,-Ft-ot költöttünk. Az Aranyalma Óvoda építésével kapcsolatos működési kiadásokra 182.419.214,-Ft-ot fizettünk ki. A Dunakeszi Diáknegyed építéséhez kapcsolódó működési kiadások összege 132.099.610,-Ft volt.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Polgármesteri Hivatal dologi kiadásainak teljesítése 165.312.486,-Ft, mely tartalmazza a 2024. június 9. napjára kitűzött Európai Parlament tagjai, a helyi önkormányzati képviselők és a polgármeseterek, </w:t>
      </w:r>
      <w:r w:rsidRPr="00021EF0">
        <w:rPr>
          <w:sz w:val="22"/>
          <w:szCs w:val="22"/>
        </w:rPr>
        <w:lastRenderedPageBreak/>
        <w:t>valamint a nemzetiségi önkormányzati képviselők közös eljárásban lebonyolított általános választása feladattal összefüggésben felmerült dologi kiadásokat is. A tervezett előirányzathoz képest a teljesítés 84,6 %.</w:t>
      </w:r>
      <w:r w:rsidRPr="00021EF0">
        <w:rPr>
          <w:sz w:val="22"/>
          <w:szCs w:val="22"/>
        </w:rPr>
        <w:tab/>
      </w:r>
    </w:p>
    <w:p w:rsidR="001B1D7D" w:rsidRPr="00021EF0" w:rsidRDefault="001B1D7D" w:rsidP="001B1D7D">
      <w:pPr>
        <w:overflowPunct/>
        <w:autoSpaceDE/>
        <w:autoSpaceDN/>
        <w:adjustRightInd/>
        <w:spacing w:line="360" w:lineRule="auto"/>
        <w:ind w:firstLine="708"/>
        <w:jc w:val="both"/>
        <w:textAlignment w:val="auto"/>
        <w:rPr>
          <w:sz w:val="22"/>
          <w:szCs w:val="22"/>
        </w:rPr>
      </w:pPr>
      <w:r w:rsidRPr="00021EF0">
        <w:rPr>
          <w:sz w:val="22"/>
          <w:szCs w:val="22"/>
        </w:rPr>
        <w:t>A DÓHSZK 1.669.766.613,-Ft-ot fordított dologi kiadásokra, a teljesítésből a legjelentősebb tétel a gyermekétkeztetés kiadására fordított 1.317.450.876,-Ft.  A Városi Sportigazgatóság 972.115,-Ft-ot költött, az alacsony teljesítést az indokolja, hogy az eredeti költségvetésben a  Fut a Keszi szervezési díja az intézmény költségvetésében szerepel, azonban a rendezvénnyel kapcsolatos számlákat az Önkormányzat fizette ki. A Révész István Helytörténeti Gyűjtemény teljesítése 1.344.593,-Ft, a tervezett előirányzat 38,5 %-át használta fel. A Dunakeszi Szakrendelő 139.957.078,-Ft-ot költött dologi kiadásokra. Az intézmény július 1. napjától kezdte meg tevékenységét, így a teljesítés 6 havi kiadást tartalmaz.</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Ellátottak juttatásai</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Ellátottak juttatásai címen 5.356.014,-Ft-ot fizettünk ki. A kifizetett juttatások az alábbi jogcímeken jelentek meg: oltási támogatás 3.041.865,-Ft, a rendkívüli települési támogatás 560.000,-Ft, gyógyszertámogatás 311.000,-Ft, lakhatási és lakásfenntartási támogatás 270.000,-Ft, temetési támogatás 199.500,-Ft, köztemetés költsége 973.649,-Ft.</w:t>
      </w:r>
    </w:p>
    <w:p w:rsidR="001B1D7D" w:rsidRPr="00021EF0" w:rsidRDefault="001B1D7D" w:rsidP="001B1D7D">
      <w:pPr>
        <w:overflowPunct/>
        <w:autoSpaceDE/>
        <w:autoSpaceDN/>
        <w:adjustRightInd/>
        <w:spacing w:line="360" w:lineRule="auto"/>
        <w:ind w:firstLine="708"/>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Elvonások, befizetések</w:t>
      </w:r>
    </w:p>
    <w:p w:rsidR="001B1D7D" w:rsidRPr="00021EF0" w:rsidRDefault="001B1D7D" w:rsidP="001B1D7D">
      <w:pPr>
        <w:overflowPunct/>
        <w:autoSpaceDE/>
        <w:autoSpaceDN/>
        <w:adjustRightInd/>
        <w:spacing w:line="360" w:lineRule="auto"/>
        <w:ind w:firstLine="709"/>
        <w:jc w:val="both"/>
        <w:textAlignment w:val="auto"/>
        <w:rPr>
          <w:b/>
          <w:iCs/>
          <w:sz w:val="22"/>
          <w:szCs w:val="22"/>
        </w:rPr>
      </w:pPr>
      <w:r w:rsidRPr="00021EF0">
        <w:rPr>
          <w:iCs/>
          <w:sz w:val="22"/>
          <w:szCs w:val="22"/>
        </w:rPr>
        <w:t xml:space="preserve">Az egyéb elvonások, befizetések teljesítése 1.331.585.849,-Ft.  Az Önkormányzatnál a szolidaritási hozzájárulási adó 1.251.253.088,-Ft-os összege jelenik meg teljesítésként.  Az intézményeknél </w:t>
      </w:r>
      <w:r w:rsidRPr="00021EF0">
        <w:rPr>
          <w:sz w:val="22"/>
          <w:szCs w:val="22"/>
        </w:rPr>
        <w:t>80.332.761,-Ft a teljesítés az előző évi szabad maradvány Önkormányzat részére történő befizetéséből, a</w:t>
      </w:r>
      <w:r w:rsidRPr="00021EF0">
        <w:rPr>
          <w:color w:val="000000"/>
          <w:sz w:val="22"/>
          <w:szCs w:val="22"/>
        </w:rPr>
        <w:t xml:space="preserve"> 2023. évi költségvetés végrehajtásáról szóló 11/2024. (V.30.) számú önkormányzati rendelet 3.§ (7) bekezdése alapján.</w:t>
      </w:r>
    </w:p>
    <w:p w:rsidR="001B1D7D" w:rsidRPr="00021EF0" w:rsidRDefault="001B1D7D" w:rsidP="001B1D7D">
      <w:pPr>
        <w:overflowPunct/>
        <w:autoSpaceDE/>
        <w:autoSpaceDN/>
        <w:adjustRightInd/>
        <w:spacing w:line="360" w:lineRule="auto"/>
        <w:jc w:val="both"/>
        <w:textAlignment w:val="auto"/>
        <w:rPr>
          <w:b/>
          <w:iCs/>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Működési célú pénzeszközátadások, támogatások</w:t>
      </w:r>
    </w:p>
    <w:p w:rsidR="001B1D7D" w:rsidRPr="00021EF0" w:rsidRDefault="001B1D7D" w:rsidP="001B1D7D">
      <w:pPr>
        <w:overflowPunct/>
        <w:autoSpaceDE/>
        <w:autoSpaceDN/>
        <w:adjustRightInd/>
        <w:spacing w:line="360" w:lineRule="auto"/>
        <w:ind w:firstLine="708"/>
        <w:jc w:val="both"/>
        <w:textAlignment w:val="auto"/>
        <w:rPr>
          <w:sz w:val="22"/>
          <w:szCs w:val="22"/>
        </w:rPr>
      </w:pPr>
      <w:r w:rsidRPr="00021EF0">
        <w:rPr>
          <w:sz w:val="22"/>
          <w:szCs w:val="22"/>
        </w:rPr>
        <w:t xml:space="preserve">A működési célú támogatások, pénzeszközátadások teljesítése 192.309.853,-Ft. Az Önkormányzatnál az </w:t>
      </w:r>
      <w:r w:rsidRPr="00021EF0">
        <w:rPr>
          <w:i/>
          <w:sz w:val="22"/>
          <w:szCs w:val="22"/>
        </w:rPr>
        <w:t xml:space="preserve">igazgatási feladaton </w:t>
      </w:r>
      <w:r w:rsidRPr="00021EF0">
        <w:rPr>
          <w:sz w:val="22"/>
          <w:szCs w:val="22"/>
        </w:rPr>
        <w:t xml:space="preserve">a Dunakeszi Kistérség Társulása részére átadott pénzeszköz 12.972.600,-Ft, illetve az „Ingatlanért életjáradék” program keretében megkötött szerződések alapján kifizetett 4.842.572,-Ft jelenik meg. </w:t>
      </w:r>
      <w:r w:rsidRPr="00021EF0">
        <w:rPr>
          <w:i/>
          <w:sz w:val="22"/>
          <w:szCs w:val="22"/>
        </w:rPr>
        <w:t>Közrendvédelmi, közbiztonsági feladatok</w:t>
      </w:r>
      <w:r w:rsidRPr="00021EF0">
        <w:rPr>
          <w:sz w:val="22"/>
          <w:szCs w:val="22"/>
        </w:rPr>
        <w:t xml:space="preserve"> támogatásán belül 3.000.000,-Ft-ot utaltunk át a Dunakeszi Városi Polgárőr tevékenység költségeire. A Dunakeszi Rendőrkapitányság részére tervezett összegnél teljesítés nem jelenik meg, ennek oka, hogy a Rendőrkapitányság  az Önkormányzat nevére kért számlát, így a kiadások a dologi kiadásoknál szerepelnek. </w:t>
      </w:r>
      <w:r w:rsidRPr="00021EF0">
        <w:rPr>
          <w:i/>
          <w:sz w:val="22"/>
          <w:szCs w:val="22"/>
        </w:rPr>
        <w:t>Köznevelési, közművelődési célokra</w:t>
      </w:r>
      <w:r w:rsidRPr="00021EF0">
        <w:rPr>
          <w:sz w:val="22"/>
          <w:szCs w:val="22"/>
        </w:rPr>
        <w:t xml:space="preserve"> 77.352.940,-Ft támogatást fizettünk ki, ebből 32.700.000,-Ft-ot utaltunk a VOKE József Attila Művelődési Központnak. A Dunakeszi Teátrum 20.000.000,-Ft támogatásban részesült. A Dunakeszi Szimfonikus Zenekar Egyesületet 7.500.000,-Ft-tal, a Dunakeszi Városi Vegyeskart 600.000,-Ft-tal, Dunakeszi Fúvószenekari Egyesületet 600.000,-Ft-</w:t>
      </w:r>
      <w:r w:rsidRPr="00021EF0">
        <w:rPr>
          <w:sz w:val="22"/>
          <w:szCs w:val="22"/>
        </w:rPr>
        <w:lastRenderedPageBreak/>
        <w:t>tal  támogattuk. Bursa Hungarica Ösztöndíjra 990.000,-Ft-ot fizettünk ki. A fentieken kívül támogatásban részesültek olyan egyesületek, alapítványok, melyek nagymértékben hozzájárulnak a város kulturális életéhez, színesebbé, élménygazdagabbá teszik a városban élők mindennapjait. Támogatásban részesült a Rákóczi Szövetség Dunakeszi Szervezete 100.000,-Ft, a Dunakszi Művészetéért Alapítvány 1.200.000,-Ft, a Radnóti Miklós Diákjaiért Alapítvány 1.500.000,-Ft, a Dunakeszi IV. Béla Király Gimnázium Diákjaiért Alapítvány 1.000.000,-Ft, a Dunakeszi Szent István Általános Iskoláért Alapítvány 800.000,-Ft, a Dunakeszi Széchenyi István Általános Iskolai Alapítvány 800.000,-Ft, a Korszerű oktatás feltételrendszerének biztosításával a jövő emberéért Alapítvány 800.000,-Ft, a Krisztus Király Római Katolikus Általános Iskola Diákjaiért Alapítvány 500.000,-Ft, a Keresztény Értelmiségiek Szövetsége 100.000,-Ft, az Otthon Segítünk Alapítvány 250.000,-Ft, a Dunakeszi Nyugdíjas Kiránduló Klub 800.000,-Ft, a RED-IT Idősbarát Egyesület 200.000,-Ft, a Természetesen Dunakesziért Egyesület 680.000,-Ft, a Dunakeszi Alsó Fejlődéséért Kulturális Egyesület 1.828.940,-Ft, a Magyar Rákellenes Liga - Szívpárna program 150.000,-Ft, Kőrösi Csoma Sándor Általános Iskola Alapítvány 1.900.000,-Ft, Zöld Iskola Alapítvány 800.000,-Ft, Dunakeszi Diófa Nagycsaládosok Egyesülete 400.000,-Ft, VSZC Lányi Ferenc Technikum és Szakképző Iskola Alapítványa 1.000.000,-Ft, Egy Mindenkiért Alapítvány 154.000,-Ft.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i/>
          <w:sz w:val="22"/>
          <w:szCs w:val="22"/>
        </w:rPr>
        <w:t>sportcélú támogatásokra</w:t>
      </w:r>
      <w:r w:rsidRPr="00021EF0">
        <w:rPr>
          <w:sz w:val="22"/>
          <w:szCs w:val="22"/>
        </w:rPr>
        <w:t xml:space="preserve"> kifizetett összeg 6.804.000,-Ft volt.  A Dunakeszi Diák és Szabadidő Kajak Klub 1.200.000,-Ft, a Sárkányhajó Klub 800.000,-Ft, az Alagi Diák Sakk Klub 200.000,-Ft, Judo ANC Felkelő Nap SE 900.000,-Ft támogatásban részesült, diáksport támogatására 2.854.000,-Ft-ot fizettünk ki. A Városi Sportegyesület Dunakeszi a horgásztábor költségeihez 400.000,-Ft támogatásban részesült. Az SVSE Kempo Klub 200.000,-Ft, a Gyémánt Lótusz SE 250.000,-Ft támogatást kapott.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i/>
          <w:sz w:val="22"/>
          <w:szCs w:val="22"/>
        </w:rPr>
        <w:t>szociális és egészségügyi feladatokra nyújtott támogatások</w:t>
      </w:r>
      <w:r w:rsidRPr="00021EF0">
        <w:rPr>
          <w:sz w:val="22"/>
          <w:szCs w:val="22"/>
        </w:rPr>
        <w:t xml:space="preserve"> összege 82.037.741,-Ft. Itt jelenik meg többek között a Dunakeszi Kistérség Társulása részére állategészségügyi feladatokra átadott 5.599.829,-Ft, valamint az orvosi ügyeleti feladatokra átadott 11.077.630,-Ft is. Hajléktalan ellátás feladatra 960.000,-Ft került kifizetésre. A köztemetés költségeinek támogatására 1.515.190,-Ft-ot fordítottunk. A Peter Cerny Alapítványt 50.000,-Ft, a Magyar Vöröskereszt Dunakeszi Szervezete 300.000,-Ft, a Veni Vidi Vici Alapítvány 1.200.000,-Ft támogatásban részesült. A Dunakeszi SZTK által végzett szociális feladatok ellátásához 57.935.092,-Ft támogatást utaltunk át. A családok átmeneti otthona és gyermekjóléti szolgálat ellátására 1.000.000,-Ft-ot fizettünk ki a Szociális és Rehabilitációs Alapítvány részére.  Magyarországi Evangélikus Egyház, Sztehlo Gábor Evangélikus Szeretetszolgálat részére a fogyatékosok nappali ellátására, valamint az idősek bentlakásos ellátására 2.000.000,-Ft támogatást nyújtottunk. A Peter Cerny Alapítvány 50.000,-Ft támogatásban részesült.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i/>
          <w:sz w:val="22"/>
          <w:szCs w:val="22"/>
        </w:rPr>
        <w:t xml:space="preserve">egyházak </w:t>
      </w:r>
      <w:r w:rsidRPr="00021EF0">
        <w:rPr>
          <w:sz w:val="22"/>
          <w:szCs w:val="22"/>
        </w:rPr>
        <w:t>működését 5.300.000,-Ft-tal támogattuk.</w:t>
      </w:r>
    </w:p>
    <w:p w:rsidR="001B1D7D" w:rsidRPr="00021EF0" w:rsidRDefault="001B1D7D" w:rsidP="001B1D7D">
      <w:pPr>
        <w:pStyle w:val="NormlWeb"/>
        <w:spacing w:after="0" w:line="360" w:lineRule="auto"/>
        <w:jc w:val="both"/>
        <w:rPr>
          <w:color w:val="000000"/>
          <w:sz w:val="22"/>
          <w:szCs w:val="22"/>
        </w:rPr>
      </w:pPr>
      <w:r w:rsidRPr="00021EF0">
        <w:rPr>
          <w:i/>
          <w:sz w:val="22"/>
          <w:szCs w:val="22"/>
        </w:rPr>
        <w:t>Működési célú visszatérítendő támogatásként</w:t>
      </w:r>
      <w:r w:rsidRPr="00021EF0">
        <w:rPr>
          <w:sz w:val="22"/>
          <w:szCs w:val="22"/>
        </w:rPr>
        <w:t xml:space="preserve"> 224.205.089,-Ft-ot fizettünk ki, ebből 150.000.000,-Ft-ot utaltunk át a Városi Sportegyesület Dunakeszi részére sportlétesítmények terembérletére és pályahasználatára, valamint az azokhoz kapcsolódó üzemeltetési költségekre. A fennmaradó 74.205.089,-Ft a </w:t>
      </w:r>
      <w:r w:rsidRPr="00021EF0">
        <w:rPr>
          <w:color w:val="000000"/>
          <w:sz w:val="22"/>
          <w:szCs w:val="22"/>
        </w:rPr>
        <w:t xml:space="preserve"> Dunakeszi Szakrendelő részére került könyvelésre a bevételeknél leírtak alapján.</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működési célú pénzeszközátadások, támogatások részletezése a 8. sz. mellékletben található. Itt jelennek meg a támogatott szervezetek a részükre nyújtott támogatások összegével együtt.</w:t>
      </w: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BERUHÁZÁSI KIADÁSOK</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Önkormányzatunk 2024. évben 2.882.537.514,-Ft-ot költött fejlesztési célokra.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KÖTELEZŐ FELADATOK</w:t>
      </w:r>
    </w:p>
    <w:p w:rsidR="001B1D7D" w:rsidRPr="00021EF0" w:rsidRDefault="001B1D7D" w:rsidP="001B1D7D">
      <w:pPr>
        <w:pStyle w:val="NormlWeb"/>
        <w:spacing w:after="0" w:line="360" w:lineRule="auto"/>
        <w:jc w:val="both"/>
        <w:rPr>
          <w:b/>
          <w:sz w:val="22"/>
          <w:szCs w:val="22"/>
        </w:rPr>
      </w:pPr>
    </w:p>
    <w:p w:rsidR="001B1D7D" w:rsidRPr="00021EF0" w:rsidRDefault="001B1D7D" w:rsidP="001B1D7D">
      <w:pPr>
        <w:pStyle w:val="NormlWeb"/>
        <w:spacing w:after="0" w:line="360" w:lineRule="auto"/>
        <w:jc w:val="both"/>
        <w:rPr>
          <w:rFonts w:cstheme="minorHAnsi"/>
          <w:sz w:val="22"/>
          <w:szCs w:val="22"/>
        </w:rPr>
      </w:pPr>
      <w:r w:rsidRPr="00021EF0">
        <w:rPr>
          <w:b/>
          <w:sz w:val="22"/>
          <w:szCs w:val="22"/>
        </w:rPr>
        <w:t>Általános közszolgáltatási célok fejlesztésére</w:t>
      </w:r>
      <w:r w:rsidRPr="00021EF0">
        <w:rPr>
          <w:sz w:val="22"/>
          <w:szCs w:val="22"/>
        </w:rPr>
        <w:t xml:space="preserve"> 721.010.944,-Ft-ot fordítottunk.  A teljesítésből 10.041.169,-Ft-ot  a működéshez szükséges tárgyi eszközök, informatikai eszközök beszerzésére fordítottunk.  Az orvosok részére vásárolt hematológiai készülékek, egyéb gyógyításhoz szükséges eszközök, készülékek beszerzésének értéke 10.755.116,-Ft volt. </w:t>
      </w:r>
      <w:r w:rsidRPr="00021EF0">
        <w:rPr>
          <w:color w:val="000000"/>
          <w:sz w:val="22"/>
          <w:szCs w:val="22"/>
        </w:rPr>
        <w:t xml:space="preserve">A Képviselő-testület 107/2024.(VI.27.) sz. határozatában döntött arról, hogy a Dunakeszi Közüzemi Kft. törzstőkéjét 20.000.000,-Ft-tal megemeli és 680.000.000,-Ft-ot tőketartalékba helyez. A határozat értelmében </w:t>
      </w:r>
      <w:r w:rsidRPr="00021EF0">
        <w:rPr>
          <w:rFonts w:cstheme="minorHAnsi"/>
          <w:sz w:val="22"/>
          <w:szCs w:val="22"/>
        </w:rPr>
        <w:t>20.000.000,-Ft-ot törzstőkeemelés céljából, 680.000.000,- Ft-ot  tőketartalékként  utaltunk át társaság bankszámlájára. A Dunakeszi Rendőrkapitányság részére 214.659,-Ft-ért vásároltunk tárgyi eszközöket.</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 xml:space="preserve">Helyi közutak, közterek és parkok fejlesztésére </w:t>
      </w:r>
      <w:r w:rsidRPr="00021EF0">
        <w:rPr>
          <w:sz w:val="22"/>
          <w:szCs w:val="22"/>
        </w:rPr>
        <w:t xml:space="preserve">1.106.860.407,-Ft-ot költöttünk el.  </w:t>
      </w:r>
      <w:r w:rsidRPr="00021EF0">
        <w:rPr>
          <w:i/>
          <w:sz w:val="22"/>
          <w:szCs w:val="22"/>
        </w:rPr>
        <w:t>Úthálózatok fejlesztésére, vízelvezetésre</w:t>
      </w:r>
      <w:r w:rsidRPr="00021EF0">
        <w:rPr>
          <w:sz w:val="22"/>
          <w:szCs w:val="22"/>
        </w:rPr>
        <w:t xml:space="preserve"> 119.235.202,-Ft-ot fordítottunk alábbiak szerint: 067.hrsz. elkerülő út kábelkiváltás tervdokumentáció 1.270.000,-Ft, 056/3 hrsz., 056/38 hrsz., úthosszabbítás tervdokumentáció 477.000,-Ft, Fillér köz útépítés 7.787.132,-Ft, helyi közutakon surrantók, szegélyek, szikkasztók, víznyelők kialakítása 40.966.330,-Ft, esővízgyűjtő tartályok beszerzése 23.936.338,-Ft, Rákóczi út felújításához kapcsolódó szegélyépítés, víznyelő kialakítás 31.485.629,-Ft, a Garas utcai bekötőút felújításához kapcsolódó tárgyi eszköz beszerzés 2.699.878,-Ft.</w:t>
      </w:r>
    </w:p>
    <w:p w:rsidR="001B1D7D" w:rsidRPr="00021EF0" w:rsidRDefault="001B1D7D" w:rsidP="001B1D7D">
      <w:pPr>
        <w:overflowPunct/>
        <w:autoSpaceDE/>
        <w:autoSpaceDN/>
        <w:adjustRightInd/>
        <w:spacing w:line="360" w:lineRule="auto"/>
        <w:jc w:val="both"/>
        <w:textAlignment w:val="auto"/>
        <w:rPr>
          <w:sz w:val="22"/>
          <w:szCs w:val="22"/>
        </w:rPr>
      </w:pPr>
      <w:r w:rsidRPr="00021EF0">
        <w:rPr>
          <w:i/>
          <w:sz w:val="22"/>
          <w:szCs w:val="22"/>
        </w:rPr>
        <w:t>Csomópontok kialakítására</w:t>
      </w:r>
      <w:r w:rsidRPr="00021EF0">
        <w:rPr>
          <w:sz w:val="22"/>
          <w:szCs w:val="22"/>
        </w:rPr>
        <w:t xml:space="preserve"> 214.060.746,-Ft-ot költöttünk, ebből 105.754.716,-Ft  az SZTK csomópont tervezés, kivitelezés feladathoz, 108.306.030,-Ft a Kossuth –Széchenyi-Zerkovicz utca körforgalmi csomópont tervezés és kivitelezés feladathoz kapcsolódik.</w:t>
      </w:r>
    </w:p>
    <w:p w:rsidR="001B1D7D" w:rsidRPr="00021EF0" w:rsidRDefault="001B1D7D" w:rsidP="001B1D7D">
      <w:pPr>
        <w:overflowPunct/>
        <w:autoSpaceDE/>
        <w:autoSpaceDN/>
        <w:adjustRightInd/>
        <w:spacing w:line="360" w:lineRule="auto"/>
        <w:jc w:val="both"/>
        <w:textAlignment w:val="auto"/>
        <w:rPr>
          <w:sz w:val="22"/>
          <w:szCs w:val="22"/>
        </w:rPr>
      </w:pPr>
      <w:r w:rsidRPr="00021EF0">
        <w:rPr>
          <w:i/>
          <w:sz w:val="22"/>
          <w:szCs w:val="22"/>
        </w:rPr>
        <w:t>Gyalogos átkelőhelyek kialakítására</w:t>
      </w:r>
      <w:r w:rsidRPr="00021EF0">
        <w:rPr>
          <w:sz w:val="22"/>
          <w:szCs w:val="22"/>
        </w:rPr>
        <w:t xml:space="preserve"> 45.873.075,-Ft-ot fordítottunk. A Táncsics Mihály u.-Budai Nagy Antal u. gyalogos átkelőhelyre 35.468.455,-Ft-ot, a Barátság út - Fő út csomópontjában akadálymentes gyalogátkelőhelyre 7.216.920,-Ft-ot, Rákóczi út és Báthory István utca csomópontjában kijelölt gyalogátkelőhely tervezésére 1.866.900,-Ft-ot, Barátság út - Fő út csomópontjában akadálymentes gyalogátkelőhely kialakításának tervezésére 1.320.800,-Ft-ot költöttünk.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i/>
          <w:sz w:val="22"/>
          <w:szCs w:val="22"/>
        </w:rPr>
        <w:t xml:space="preserve">járdaépítések </w:t>
      </w:r>
      <w:r w:rsidRPr="00021EF0">
        <w:rPr>
          <w:sz w:val="22"/>
          <w:szCs w:val="22"/>
        </w:rPr>
        <w:t xml:space="preserve">költsége 92.928.592,-Ft volt, ebből a Szent István park járdaépítése 23.911.966,-Ft, Vasút u. 7/a. előtti és Bajcsy-Zs.u.15-Martinovics utca közötti szakasz járdaépítése 8.578.246,-Ft, a Rákóczi és Báthory csomópont hiányzó járdakapcsolati elemek megépítése 5.306.377,-Ft, a Zápolya </w:t>
      </w:r>
      <w:r w:rsidRPr="00021EF0">
        <w:rPr>
          <w:sz w:val="22"/>
          <w:szCs w:val="22"/>
        </w:rPr>
        <w:lastRenderedPageBreak/>
        <w:t>utca, Mányoki Á. tér - Hunyadi u. közötti szakasz járdaépítése 7.351.840,-Ft, a Járdaépítés, tereprendezés - Kőrösi Ált.Isk., Csillagszem Bölcsőde, Gyöngyharmat Óvoda 47.534.703,-Ft, a korlát kihelyezés a Kiserdő utca 13/A társasház előtti járdához  85.085,-Ft, Szép Ernő utca járdaépítés 160.375,-Ft, a lakossági hozzájárulással épült járdák  201.935,-Ft, a Tisza u. Esze T. u., Bulcsú u. járdaépítés költsége 8.644.573,-Ft volt.</w:t>
      </w:r>
    </w:p>
    <w:p w:rsidR="001B1D7D" w:rsidRPr="00021EF0" w:rsidRDefault="001B1D7D" w:rsidP="001B1D7D">
      <w:pPr>
        <w:overflowPunct/>
        <w:autoSpaceDE/>
        <w:autoSpaceDN/>
        <w:adjustRightInd/>
        <w:spacing w:line="360" w:lineRule="auto"/>
        <w:jc w:val="both"/>
        <w:textAlignment w:val="auto"/>
        <w:rPr>
          <w:sz w:val="22"/>
          <w:szCs w:val="22"/>
        </w:rPr>
      </w:pPr>
      <w:r w:rsidRPr="00021EF0">
        <w:rPr>
          <w:i/>
          <w:sz w:val="22"/>
          <w:szCs w:val="22"/>
        </w:rPr>
        <w:t>Parkolók kialakítására</w:t>
      </w:r>
      <w:r w:rsidRPr="00021EF0">
        <w:rPr>
          <w:sz w:val="22"/>
          <w:szCs w:val="22"/>
        </w:rPr>
        <w:t xml:space="preserve"> 110.396.566,-Ft-ot utaltunk át. Elkészült a Kiscsurgó u. 6332. hrsz. parkolóépítés, költsége 43.046.687,-Ft volt.  Elkészült a Tallér köz parkolók kivitelezése, erre a feladatra 61.957.395,-Ft-ot fizettünk ki. A Dessewffy – Pöltenberg utcák sarkán lévő területen 7 db szabványos méretű parkoló építése 5.392.484,-Ft volt. Az Aranyalma tagóvoda parkoló kialakítására 33.395.258,-Ft-ot fizettünk ki. A Szent Mihály tér déli oldalán elkészült parkolók költsége 7.251.189,-Ft volt.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i/>
          <w:sz w:val="22"/>
          <w:szCs w:val="22"/>
        </w:rPr>
        <w:t xml:space="preserve">kerékpárút fejlesztésekre </w:t>
      </w:r>
      <w:r w:rsidRPr="00021EF0">
        <w:rPr>
          <w:sz w:val="22"/>
          <w:szCs w:val="22"/>
        </w:rPr>
        <w:t>tervezett összegből a TOP PLUSZ 1.2.1-21PT2022-00030 Kerékpáros fejlesztés Dunakeszin feladaton 84.920.624,-Ft-ot fizettünk ki.</w:t>
      </w:r>
    </w:p>
    <w:p w:rsidR="001B1D7D" w:rsidRPr="00021EF0" w:rsidRDefault="001B1D7D" w:rsidP="001B1D7D">
      <w:pPr>
        <w:overflowPunct/>
        <w:autoSpaceDE/>
        <w:autoSpaceDN/>
        <w:adjustRightInd/>
        <w:spacing w:line="360" w:lineRule="auto"/>
        <w:jc w:val="both"/>
        <w:textAlignment w:val="auto"/>
        <w:rPr>
          <w:sz w:val="22"/>
          <w:szCs w:val="22"/>
        </w:rPr>
      </w:pPr>
      <w:r w:rsidRPr="00021EF0">
        <w:rPr>
          <w:i/>
          <w:sz w:val="22"/>
          <w:szCs w:val="22"/>
        </w:rPr>
        <w:t>Zöldfelületek fejlesztésére, játszóterek kialakítására</w:t>
      </w:r>
      <w:r w:rsidRPr="00021EF0">
        <w:rPr>
          <w:sz w:val="22"/>
          <w:szCs w:val="22"/>
        </w:rPr>
        <w:t xml:space="preserve"> 389.951.945,-Ft-ot költöttünk.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Fák telepítésére 15.676.281,-Ft-ot, fizettünk ki. Játszótéri eszközökre, játszóvárakra 121.465.889,-Ft-ot költöttünk, a Szent István park játszóvárra 38.572.904,-Ft-ot, az Ordass Lajos park játszótéri eszközeire 35.875.545,-Ft-ot, a Kazinczy játszótér eszközeire 32.484.319,-Ft-ot, a Szabadság téri játszóeszközökre 6.420.415,-Ft-ot, a Tóváros játszótéri napvitorlákra 698.500,-Ft-ot, játszótéri eszközök, park berendezési tárgyak fejlesztésére 7.414.207,-Ft-ot költöttünk. Parkok, játszóterek környezetrendezésére 188.790.219,-Ft-ot fordítottunk az alábbiak szerint: törpekert, törpevár 2.248.008,-Ft, SZTK környezetrendezés 59.273.429,-Ft, Szent István park fejlesztés 930.910,-Ft, Barátság út 35-45 közpark 35.567.334,-Ft, Szent Mihály tér környezetrendezés 14.677.265,-Ft, Malomárok sétány 16.437.451,-Ft, Kegyeleti park 14.725.300,-Ft, Alagligeti közpark 4.440.441,-Ft, IV. Béla király tér fejlesztés 2.256.790,-Ft. A  Vasvári Pál utca 2. játszótér kialakítása 25.493.774,-Ft-ba került. Az Ordas Lajos parkban futókör kialakítására 33.254.744,-Ft-ot fordítottunk. Utcabútorok, KRESZ táblák telepítése, karbantartása soron 586.486,-Ft a teljesítés. Öntözőhálózatok fejlesztésére, fúrt kutak kialakítására 30.178.326,-Ft-ot fordítottunk.</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Településfejlesztés, településrendezés feladaton</w:t>
      </w:r>
      <w:r w:rsidRPr="00021EF0">
        <w:rPr>
          <w:sz w:val="22"/>
          <w:szCs w:val="22"/>
        </w:rPr>
        <w:t xml:space="preserve"> 28.390.806,-Ft a teljesítés közvilágítás fejlesztésekből. Az Uszály köz, Csiga köz, Barackos u. közvilágítása 9.906.622,-Ft-ba került. A  Klapka u., Bajza utca sarok közvilágítási lámpatest kivitelezési munkáira 1.397.000,-Ft-ot fizettünk ki. A Toldi u, Kazinczy u. Garas u. játszóterek közvilágítására 7.982.095,-Ft-ot költöttünk.</w:t>
      </w:r>
      <w:r w:rsidRPr="00021EF0">
        <w:t xml:space="preserve">  A </w:t>
      </w:r>
      <w:r w:rsidRPr="00021EF0">
        <w:rPr>
          <w:sz w:val="22"/>
          <w:szCs w:val="22"/>
        </w:rPr>
        <w:t>Barátság u. - Föveny u.  gyalogátkelőhely  közvilágítás fejlesztés tervezése 1.593.850,-Ft-ba került. A Tábor u. és  Bajtárs  u. gyalogátkelőhely közvilágítás kiépítésére 7.511.239,-Ft-ot fordítottunk.</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 xml:space="preserve">Önkormányzati egyéb vagyonnal való gazdálkodás </w:t>
      </w:r>
      <w:r w:rsidRPr="00021EF0">
        <w:rPr>
          <w:sz w:val="22"/>
          <w:szCs w:val="22"/>
        </w:rPr>
        <w:t xml:space="preserve">feladaton 908.045.050,-Ft a teljesítés. A TOP PLUSZ 3.3.1-21-PT1-2022-00018 Aranyalma Óvoda bővítésére 796.038.031,-Ft-ot, a Vasvári Pál utca 2. sz.  lakás korszerűsítése 54.581.185,-Ft-ot, a Verseny u. 12. (3035/4.hrsz) szennyvízelvezetésére 2.196.465,-Ft-ot, a Házasságkötő terem kialakítására 1.201.837,-Ft-ot, Közterületi tárgyi eszközök beszerzésére (pollerek, kresz táblák, szemetesek stb.) 4.053.114,-Ft-ot költöttünk. A Közüzemi </w:t>
      </w:r>
      <w:r w:rsidRPr="00021EF0">
        <w:rPr>
          <w:sz w:val="22"/>
          <w:szCs w:val="22"/>
        </w:rPr>
        <w:lastRenderedPageBreak/>
        <w:t>Nonprofit Kft. visszapótlási kötelezettség terhére végzett beruházások után Önkormányzatunknak az általános forgalmi adót ki kell fizetnie, ennek összege 18.722.835,-Ft volt. A Dunakeszi 7501/3 hrsz ingatlanért 15.459.300,-Ft-ot, a Dunakeszi 07/122 hrsz. ingatlanrészért 1.850.000,-Ft-ot fizettünk ki. Intézmény fejlesztésekre 13.942.283,-Ft-ot költöttünk.</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Közterület rendjének fenntartása feladaton</w:t>
      </w:r>
      <w:r w:rsidRPr="00021EF0">
        <w:rPr>
          <w:sz w:val="22"/>
          <w:szCs w:val="22"/>
        </w:rPr>
        <w:t xml:space="preserve"> térfigyelő kamerák telepítésére 44.989.732,-Ft-ot fordítottunk.</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 xml:space="preserve">Költségvetési intézmények fejlesztésére </w:t>
      </w:r>
      <w:r w:rsidRPr="00021EF0">
        <w:rPr>
          <w:sz w:val="22"/>
          <w:szCs w:val="22"/>
        </w:rPr>
        <w:t>47.091.293,-Ft-ot fizettünk ki. Az összeg a Polgármesteri Hivatal, a DÓHSZK és a Révész István Helytörténeti Gyűjtemény működéshez szükséges kis értékű tárgyi eszköz beszerzéseit foglalja magában. A Polgármesteri Hivatal teljesítési adatai tartalmazzák a  2024. június 9. napjára kitűzött Európai Parlament tagjai, a helyi önkormányzati képviselők és a polgármeseterek, valamint a nemzetiségi önkormányzati képviselők közös eljárásban lebonyolított általános választása feladattal összefüggésben beszerzett 50 db. szavazófülke, valamint 50 db. szavazófülke függöny 5.093.335,-Ft-os költségét is.</w:t>
      </w: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 xml:space="preserve">ÖNKÉNT VÁLLALT FELADATOK </w:t>
      </w:r>
    </w:p>
    <w:p w:rsidR="001B1D7D" w:rsidRPr="00021EF0" w:rsidRDefault="001B1D7D" w:rsidP="001B1D7D">
      <w:pPr>
        <w:overflowPunct/>
        <w:autoSpaceDE/>
        <w:autoSpaceDN/>
        <w:adjustRightInd/>
        <w:spacing w:line="360" w:lineRule="auto"/>
        <w:ind w:firstLine="708"/>
        <w:jc w:val="both"/>
        <w:textAlignment w:val="auto"/>
        <w:rPr>
          <w:sz w:val="22"/>
          <w:szCs w:val="22"/>
        </w:rPr>
      </w:pPr>
      <w:r w:rsidRPr="00021EF0">
        <w:rPr>
          <w:sz w:val="22"/>
          <w:szCs w:val="22"/>
        </w:rPr>
        <w:t>Az önként vállalt feladatoknál a fejlesztési kiadások teljesítése 26.149.282,-Ft. A Fazekas Mihály Német Nyelvoktató Nemzetiségi Általános Iskola kerékpártároló kialakítására, ping-pong asztalokra 5.704.710,-Ft-ot költöttünk. Rendezvényekhez tartozó tárgyi eszközök beszerzésének költsége 12.291.374,-Ft volt. DDN lego makett soron 13.762.908,-Ft jelenik meg teljesítésként. festmény beszerzésére 95.000,-Ft-ot fordítottunk.</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fejlesztési feladatokat célonként részletesen a 10. sz. melléklet mutatja be.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FELÚJÍTÁSI KIADÁSOK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Önkormányzatunk felújítási kiadásokra 501.113.157,-Ft-ot fordított. A Dunakeszi Közüzemi Nonprofit Kft. részére vagyonkezelésbe adott ingatlanokon a visszapótlási kötelezettség keretében végzett felújítási munkák általános forgalmi adó fizetési kötelezettsége 6.215.463,-Ft volt. Járdafelújításra 43.348.021,-Ft-ot költöttünk, a Hunyadi u., a Rákóczi utca, valamint a Vajda János u. járdái újultak meg. Útfelújítások keretében a Vasút utca felújítására 15.131.390,-Ft-ot, a Karinthy Frigyes utca felújítására 43.127.746,-Ft-ot, a Kossuth Lajos utca felújítására 61.014.014,-Ft-ot, a Tábor utca – Mátyás Király utca felújítására (1. szakasz) 86.806.355,-Ft-ot, a Nap utca felújítására 21.095.427,-Ft-ot, a Garas utca bekötőút útpálya felújítására 34.857.281,-Ft-ot fizettünk ki, a Barátság útja 35-45. lakótömbök körüli út felújításának költsége 80.261.814,-Ft, a Rákóczi út felújításának 56.566.907,-Ft volt. A Kossuth Lajos utca intelligens zebra újra telepítése 1.438.152,-Ft-ba került. Intézmények felújítására 29.024.371,-Ft-ot, önkormányzati lakások felújítására 22.063.406,-Ft-ot költöttünk el. A Városi Betlehem felújítása 162.810,-Ft-ba került.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felújítási feladatokat célonként részletesen a 10. sz. melléklet mutatja be.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FELHALMOZÁSI CÉLÚ TÁMOGATÁSOK</w:t>
      </w:r>
    </w:p>
    <w:p w:rsidR="001B1D7D" w:rsidRPr="00021EF0" w:rsidRDefault="001B1D7D" w:rsidP="001B1D7D">
      <w:pPr>
        <w:pStyle w:val="NormlWeb"/>
        <w:spacing w:after="0" w:line="360" w:lineRule="auto"/>
        <w:jc w:val="both"/>
        <w:rPr>
          <w:sz w:val="22"/>
          <w:szCs w:val="22"/>
        </w:rPr>
      </w:pPr>
      <w:r w:rsidRPr="00021EF0">
        <w:rPr>
          <w:iCs/>
          <w:sz w:val="22"/>
          <w:szCs w:val="22"/>
        </w:rPr>
        <w:t xml:space="preserve">A felhalmozási célú támogatások  teljesítése 7.152.000,-Ft.  Egyházak fejlesztési, felújítási kiadásaihoz 3.900.000,-Ft-tal járultunk hozzá. Az Otthon Melege Program keretében 2.832.000,-Ft-ot fizettünk ki. A Fővárosi Katasztrófavédelmi Igazgatóság részére 250.000,-Ft-ot utaltunk át. A Tóth Mariska Hagyományőrző Alapítvány 170.000,-Ft, a Dunakeszi Óvodásokért Alapítvány 2.500.000,-Ft felhalmozási célú támogatásban részesült. A  Dunakeszi Közüzemi Nonprofit Kft. részére 20.285.795,-Ft-ot utaltunk át </w:t>
      </w:r>
      <w:r w:rsidRPr="00021EF0">
        <w:rPr>
          <w:sz w:val="22"/>
          <w:szCs w:val="22"/>
        </w:rPr>
        <w:t>közterület fenntartást segítő munkagép beszerzésére.</w:t>
      </w:r>
    </w:p>
    <w:p w:rsidR="001B1D7D" w:rsidRPr="00021EF0" w:rsidRDefault="001B1D7D" w:rsidP="001B1D7D">
      <w:pPr>
        <w:overflowPunct/>
        <w:autoSpaceDE/>
        <w:autoSpaceDN/>
        <w:adjustRightInd/>
        <w:spacing w:line="360" w:lineRule="auto"/>
        <w:jc w:val="both"/>
        <w:textAlignment w:val="auto"/>
        <w:rPr>
          <w:iCs/>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felhalmozási célú pénzeszközátadások, támogatások részletezése a 8. sz. mellékletben található. Itt jelennek meg a támogatott szervezetek a részükre nyújtott támogatások összegével együtt.</w:t>
      </w:r>
    </w:p>
    <w:p w:rsidR="001B1D7D" w:rsidRPr="00021EF0" w:rsidRDefault="001B1D7D" w:rsidP="001B1D7D">
      <w:pPr>
        <w:overflowPunct/>
        <w:autoSpaceDE/>
        <w:autoSpaceDN/>
        <w:adjustRightInd/>
        <w:spacing w:line="360" w:lineRule="auto"/>
        <w:jc w:val="both"/>
        <w:textAlignment w:val="auto"/>
        <w:rPr>
          <w:b/>
          <w:iCs/>
          <w:sz w:val="22"/>
          <w:szCs w:val="22"/>
        </w:rPr>
      </w:pPr>
    </w:p>
    <w:p w:rsidR="001B1D7D" w:rsidRPr="00021EF0" w:rsidRDefault="001B1D7D" w:rsidP="001B1D7D">
      <w:pPr>
        <w:overflowPunct/>
        <w:autoSpaceDE/>
        <w:autoSpaceDN/>
        <w:adjustRightInd/>
        <w:spacing w:line="360" w:lineRule="auto"/>
        <w:jc w:val="both"/>
        <w:textAlignment w:val="auto"/>
        <w:rPr>
          <w:b/>
          <w:iCs/>
          <w:sz w:val="22"/>
          <w:szCs w:val="22"/>
        </w:rPr>
      </w:pPr>
      <w:r w:rsidRPr="00021EF0">
        <w:rPr>
          <w:b/>
          <w:iCs/>
          <w:sz w:val="22"/>
          <w:szCs w:val="22"/>
        </w:rPr>
        <w:t>FINANSZÍROZÁSI KIADÁSOK</w:t>
      </w:r>
    </w:p>
    <w:p w:rsidR="001B1D7D" w:rsidRPr="00021EF0" w:rsidRDefault="001B1D7D" w:rsidP="001B1D7D">
      <w:pPr>
        <w:overflowPunct/>
        <w:autoSpaceDE/>
        <w:autoSpaceDN/>
        <w:adjustRightInd/>
        <w:spacing w:line="360" w:lineRule="auto"/>
        <w:ind w:firstLine="709"/>
        <w:jc w:val="both"/>
        <w:textAlignment w:val="auto"/>
        <w:rPr>
          <w:sz w:val="22"/>
          <w:szCs w:val="22"/>
        </w:rPr>
      </w:pPr>
      <w:r w:rsidRPr="00021EF0">
        <w:rPr>
          <w:sz w:val="22"/>
          <w:szCs w:val="22"/>
        </w:rPr>
        <w:t xml:space="preserve">Önkormányzatunk gazdálkodását tekintve nem kényszerült hitelfelvételre, ennek megfelelően hiteltörlesztéssel kapcsolatos finanszírozási kiadása sem merült fel. </w:t>
      </w:r>
      <w:r w:rsidRPr="00021EF0">
        <w:rPr>
          <w:sz w:val="22"/>
          <w:szCs w:val="22"/>
        </w:rPr>
        <w:tab/>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Cs/>
          <w:sz w:val="22"/>
          <w:szCs w:val="22"/>
        </w:rPr>
      </w:pPr>
      <w:r w:rsidRPr="00021EF0">
        <w:rPr>
          <w:sz w:val="22"/>
          <w:szCs w:val="22"/>
        </w:rPr>
        <w:t xml:space="preserve">A finanszírozási kiadások teljesítése az </w:t>
      </w:r>
      <w:r w:rsidRPr="00021EF0">
        <w:rPr>
          <w:b/>
          <w:sz w:val="22"/>
          <w:szCs w:val="22"/>
        </w:rPr>
        <w:t>államháztaratáson belüli megelőlegezések</w:t>
      </w:r>
      <w:r w:rsidRPr="00021EF0">
        <w:rPr>
          <w:sz w:val="22"/>
          <w:szCs w:val="22"/>
        </w:rPr>
        <w:t xml:space="preserve"> visszafizetése soron 120.130.710,-Ft. A teljesítés tartalmazza a központi költségvetésből előző év végén kapott előleg 119.777.848,-Ft visszatérítését. A központi költségvetés minden év végén előleget utal az Önkormányzatok számára a következő évi támogatás terhére. 2023. év végén a 2024. évi támogatások terhére 119.777.848,-Ft előleget kaptunk. Ezzel az előleggel 2024. január hónapban kellett elszámolnunk. Itt kell könyvelni az éven belül rendeződő államháztartáson belüli megelőlegezéseket is. </w:t>
      </w:r>
      <w:r w:rsidRPr="00021EF0">
        <w:rPr>
          <w:bCs/>
          <w:sz w:val="22"/>
          <w:szCs w:val="22"/>
        </w:rPr>
        <w:t xml:space="preserve">Ilyen jogcímen 352.862,-Ft kiadást kellett lekönyvelnünk a közfoglalkoztatás feladaton.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021EF0">
        <w:rPr>
          <w:b/>
          <w:sz w:val="24"/>
          <w:szCs w:val="24"/>
        </w:rPr>
        <w:t>AZ ÖNKORMÁNYZATI VAGYON VÁLTOZÁSA</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Önkormányzat vagyonkimutatása a 13. sz. mellékletben található. A vagyonnal kapcsolatos részletező kimutatásokat az alábbi mellékletek mutatják be: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13/a.sz. melléklet   </w:t>
      </w:r>
      <w:r w:rsidRPr="00021EF0">
        <w:rPr>
          <w:sz w:val="22"/>
          <w:szCs w:val="22"/>
        </w:rPr>
        <w:tab/>
        <w:t>Mérleg 2024. év</w:t>
      </w:r>
    </w:p>
    <w:p w:rsidR="001B1D7D" w:rsidRPr="00021EF0" w:rsidRDefault="001B1D7D" w:rsidP="001B1D7D">
      <w:pPr>
        <w:overflowPunct/>
        <w:autoSpaceDE/>
        <w:autoSpaceDN/>
        <w:adjustRightInd/>
        <w:spacing w:line="360" w:lineRule="auto"/>
        <w:ind w:left="2124" w:hanging="2124"/>
        <w:jc w:val="both"/>
        <w:textAlignment w:val="auto"/>
        <w:rPr>
          <w:sz w:val="22"/>
          <w:szCs w:val="22"/>
        </w:rPr>
      </w:pPr>
      <w:r w:rsidRPr="00021EF0">
        <w:rPr>
          <w:sz w:val="22"/>
          <w:szCs w:val="22"/>
        </w:rPr>
        <w:t xml:space="preserve">13/b.sz. melléklet </w:t>
      </w:r>
      <w:r w:rsidRPr="00021EF0">
        <w:rPr>
          <w:sz w:val="22"/>
          <w:szCs w:val="22"/>
        </w:rPr>
        <w:tab/>
        <w:t xml:space="preserve">Államháztartáson belülre vagyonkezelésbe adott eszközök 2024. év </w:t>
      </w:r>
    </w:p>
    <w:p w:rsidR="001B1D7D" w:rsidRPr="00021EF0" w:rsidRDefault="001B1D7D" w:rsidP="001B1D7D">
      <w:pPr>
        <w:overflowPunct/>
        <w:autoSpaceDE/>
        <w:autoSpaceDN/>
        <w:adjustRightInd/>
        <w:spacing w:line="360" w:lineRule="auto"/>
        <w:ind w:left="2124"/>
        <w:jc w:val="both"/>
        <w:textAlignment w:val="auto"/>
        <w:rPr>
          <w:sz w:val="22"/>
          <w:szCs w:val="22"/>
        </w:rPr>
      </w:pPr>
      <w:r w:rsidRPr="00021EF0">
        <w:rPr>
          <w:sz w:val="22"/>
          <w:szCs w:val="22"/>
        </w:rPr>
        <w:t>Kulturális javak 2024. év</w:t>
      </w:r>
    </w:p>
    <w:p w:rsidR="001B1D7D" w:rsidRPr="00021EF0" w:rsidRDefault="001B1D7D" w:rsidP="001B1D7D">
      <w:pPr>
        <w:overflowPunct/>
        <w:autoSpaceDE/>
        <w:autoSpaceDN/>
        <w:adjustRightInd/>
        <w:spacing w:line="360" w:lineRule="auto"/>
        <w:ind w:left="2124" w:hanging="2124"/>
        <w:jc w:val="both"/>
        <w:textAlignment w:val="auto"/>
        <w:rPr>
          <w:sz w:val="22"/>
          <w:szCs w:val="22"/>
        </w:rPr>
      </w:pPr>
      <w:r w:rsidRPr="00021EF0">
        <w:rPr>
          <w:sz w:val="22"/>
          <w:szCs w:val="22"/>
        </w:rPr>
        <w:t xml:space="preserve">13/c.sz. melléklet </w:t>
      </w:r>
      <w:r w:rsidRPr="00021EF0">
        <w:rPr>
          <w:sz w:val="22"/>
          <w:szCs w:val="22"/>
        </w:rPr>
        <w:tab/>
        <w:t xml:space="preserve">Immateriális javak, tárgyi eszközök, koncesszióba vagyonkezelésbe adott eszközök állományának alakulása 2024. év </w:t>
      </w:r>
    </w:p>
    <w:p w:rsidR="001B1D7D" w:rsidRPr="00021EF0" w:rsidRDefault="001B1D7D" w:rsidP="001B1D7D">
      <w:pPr>
        <w:overflowPunct/>
        <w:autoSpaceDE/>
        <w:autoSpaceDN/>
        <w:adjustRightInd/>
        <w:spacing w:line="360" w:lineRule="auto"/>
        <w:ind w:left="2124" w:hanging="2124"/>
        <w:jc w:val="both"/>
        <w:textAlignment w:val="auto"/>
        <w:rPr>
          <w:sz w:val="22"/>
          <w:szCs w:val="22"/>
        </w:rPr>
      </w:pPr>
      <w:r w:rsidRPr="00021EF0">
        <w:rPr>
          <w:sz w:val="22"/>
          <w:szCs w:val="22"/>
        </w:rPr>
        <w:t xml:space="preserve">13/d.sz. melléklet </w:t>
      </w:r>
      <w:r w:rsidRPr="00021EF0">
        <w:rPr>
          <w:sz w:val="22"/>
          <w:szCs w:val="22"/>
        </w:rPr>
        <w:tab/>
        <w:t>Részesedések állománya 2024. év</w:t>
      </w:r>
    </w:p>
    <w:p w:rsidR="001B1D7D" w:rsidRPr="00021EF0" w:rsidRDefault="001B1D7D" w:rsidP="001B1D7D">
      <w:pPr>
        <w:overflowPunct/>
        <w:autoSpaceDE/>
        <w:autoSpaceDN/>
        <w:adjustRightInd/>
        <w:spacing w:line="360" w:lineRule="auto"/>
        <w:ind w:left="2124" w:hanging="2124"/>
        <w:jc w:val="both"/>
        <w:textAlignment w:val="auto"/>
        <w:rPr>
          <w:sz w:val="22"/>
          <w:szCs w:val="22"/>
        </w:rPr>
      </w:pPr>
      <w:r w:rsidRPr="00021EF0">
        <w:rPr>
          <w:sz w:val="22"/>
          <w:szCs w:val="22"/>
        </w:rPr>
        <w:t xml:space="preserve">13/e.sz. melléklet </w:t>
      </w:r>
      <w:r w:rsidRPr="00021EF0">
        <w:rPr>
          <w:sz w:val="22"/>
          <w:szCs w:val="22"/>
        </w:rPr>
        <w:tab/>
        <w:t>Pénzeszközök változásának bemutatása 2024. év</w:t>
      </w:r>
    </w:p>
    <w:p w:rsidR="001B1D7D" w:rsidRPr="00021EF0" w:rsidRDefault="001B1D7D" w:rsidP="001B1D7D">
      <w:pPr>
        <w:overflowPunct/>
        <w:autoSpaceDE/>
        <w:autoSpaceDN/>
        <w:adjustRightInd/>
        <w:spacing w:line="360" w:lineRule="auto"/>
        <w:ind w:left="2124" w:hanging="2124"/>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Az önkormányzat 2024. évi</w:t>
      </w:r>
      <w:r w:rsidRPr="00021EF0">
        <w:rPr>
          <w:sz w:val="22"/>
          <w:szCs w:val="22"/>
        </w:rPr>
        <w:t xml:space="preserve"> </w:t>
      </w:r>
      <w:r w:rsidRPr="00021EF0">
        <w:rPr>
          <w:b/>
          <w:sz w:val="22"/>
          <w:szCs w:val="22"/>
        </w:rPr>
        <w:t>mérlegének fő összege 57.763.886.977,-Ft.</w:t>
      </w:r>
      <w:r w:rsidRPr="00021EF0">
        <w:rPr>
          <w:sz w:val="22"/>
          <w:szCs w:val="22"/>
        </w:rPr>
        <w:t xml:space="preserve"> </w:t>
      </w: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ESZKÖZÖK</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immateriális javak</w:t>
      </w:r>
      <w:r w:rsidRPr="00021EF0">
        <w:rPr>
          <w:sz w:val="22"/>
          <w:szCs w:val="22"/>
        </w:rPr>
        <w:t xml:space="preserve"> mérlegértéke 3.007.821,-Ft-tal nőtt. A bruttó érték változása 5.460.980,-Ft, melyet az immateriális javak beszerzésére fordított összeg indokol. Az elszámolt értékcsökkenés összege 2.453.159,-Ft volt. A bruttó érték változásának, valamint az értékcsökkenés változásának eredménye a mérlegérték változása.</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 xml:space="preserve">ingatlanok </w:t>
      </w:r>
      <w:r w:rsidRPr="00021EF0">
        <w:rPr>
          <w:sz w:val="22"/>
          <w:szCs w:val="22"/>
        </w:rPr>
        <w:t>mérlegértéke 820.476.736,-Ft-tal nőtt. A változás legfontosabb tényezője a beruházásokból, felújításokból aktivált érték, illetve a 2024. évben elszámolt értékcsökkenés. Üzembe helyezésre kerültek többek között: útfelújítások, útépítések 388.908.276,-Ft, csomópontok, gyalogátkelőhelyek 261.489.719,-Ft, zöldterület fejlesztések 226.251.073,-Ft, járda fejlesztések 144.131.831,-Ft, parkoló kialakítások 144.122.595,-Ft, ingatlanok vásárlása 17.309.300,-Ft, intézmények fejlesztéséből, felújításából 31.118.437,-Ft, helyi közutakon szegélyek, surrantók, szikkasztók, víznyelők kialakítása, vízelvezetés 27.408.941,-Ft, közvilágítás fejlesztések 28.790.289,-Ft, önkormányzati lakások fejlesztése, felújítása 24.213.892,-Ft  Az elszámolt értékcsökkenés összege 523.521.896,-Ft volt.</w:t>
      </w: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Gépek, berendezések, felszerelések, járművek</w:t>
      </w:r>
      <w:r w:rsidRPr="00021EF0">
        <w:rPr>
          <w:sz w:val="22"/>
          <w:szCs w:val="22"/>
        </w:rPr>
        <w:t xml:space="preserve"> mérlegértéke 121.757.485,-Ft-tal nőtt. A változást a beruházásokból, felújításokból aktivált érték, a selejtezés, illetve a 2024. évben elszámolt értékcsökkenés indokolja.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beruházások, felújítások</w:t>
      </w:r>
      <w:r w:rsidRPr="00021EF0">
        <w:rPr>
          <w:sz w:val="22"/>
          <w:szCs w:val="22"/>
        </w:rPr>
        <w:t xml:space="preserve"> nyitó állománya 2.474.441.016,-Ft  volt, a 2024. évi záró állomány 3.263.510.239,-Ft. Az állományváltozást a tárgyévben kifizetett, de üzembe nem helyezett beruházások, illetve az előző években kifizetett, de tárgyévben üzembehelyezett beruházások indokolják.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 Az </w:t>
      </w:r>
      <w:r w:rsidRPr="00021EF0">
        <w:rPr>
          <w:b/>
          <w:sz w:val="22"/>
          <w:szCs w:val="22"/>
        </w:rPr>
        <w:t>egyéb tartós részesedések</w:t>
      </w:r>
      <w:r w:rsidRPr="00021EF0">
        <w:rPr>
          <w:sz w:val="22"/>
          <w:szCs w:val="22"/>
        </w:rPr>
        <w:t xml:space="preserve"> állománya  2.839.011.000,-Ft, az előző évhez képest 700.000.000,-Ft-tal nőtt az állomány. </w:t>
      </w:r>
      <w:r w:rsidRPr="00021EF0">
        <w:rPr>
          <w:color w:val="000000"/>
          <w:sz w:val="22"/>
          <w:szCs w:val="22"/>
        </w:rPr>
        <w:t xml:space="preserve">A Képviselő-testület 107/2024.(VI.27.) sz. határozatában döntött arról, hogy a Dunakeszi Közüzemi Kft. törzstőkéjét 20.000.000,-Ft-tal megemeli és 680.000.000,-Ft-ot tőketartalékba helyez. A határozat értelmében </w:t>
      </w:r>
      <w:r w:rsidRPr="00021EF0">
        <w:rPr>
          <w:rFonts w:cstheme="minorHAnsi"/>
          <w:sz w:val="22"/>
          <w:szCs w:val="22"/>
        </w:rPr>
        <w:t>20.000.000,-Ft-ot törzstőkeemelés céljából, 680.000.000,- Ft-ot  tőketartalékként  utaltunk át társaság bankszámlájára.</w:t>
      </w:r>
      <w:r w:rsidRPr="00021EF0">
        <w:rPr>
          <w:sz w:val="22"/>
          <w:szCs w:val="22"/>
        </w:rPr>
        <w:t xml:space="preserve"> </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Gazdasági társaságok adatait a 13/d. sz. melléklet mutatja be.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lastRenderedPageBreak/>
        <w:t xml:space="preserve">A </w:t>
      </w:r>
      <w:r w:rsidRPr="00021EF0">
        <w:rPr>
          <w:b/>
          <w:sz w:val="22"/>
          <w:szCs w:val="22"/>
        </w:rPr>
        <w:t>tartós hitelviszonyt megtestesítő értékpapírok</w:t>
      </w:r>
      <w:r w:rsidRPr="00021EF0">
        <w:rPr>
          <w:sz w:val="22"/>
          <w:szCs w:val="22"/>
        </w:rPr>
        <w:t xml:space="preserve"> – államkötvény nyitó állománya  és a záró állománya is 420.320.000,-Ft.  Az eredeti költségvetésben terveztük az államkötvény eladását, de a beérkező bevételek fedezték a kiadásainkat, így likviditási helyzetünk nem indokolta, az államkötvény eladását.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vagyonkezelésbe adott eszközök</w:t>
      </w:r>
      <w:r w:rsidRPr="00021EF0">
        <w:rPr>
          <w:sz w:val="22"/>
          <w:szCs w:val="22"/>
        </w:rPr>
        <w:t xml:space="preserve"> nyitó állománya 3.794.406.689,-Ft volt, a záró állomány 3.809.146.998,-Ft. A növekedés 14.740.309,-Ft, mely tartalmaz 92.364.067,-Ft növekedést (a 2023. évi visszapótlási kötelezettség terhére végzett beruházások átadása), valamint 77.623.758,-Ft csökkenést (2024. évben elszámolt terv szerinti értékcsökkenés összege).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 xml:space="preserve">készletek </w:t>
      </w:r>
      <w:r w:rsidRPr="00021EF0">
        <w:rPr>
          <w:sz w:val="22"/>
          <w:szCs w:val="22"/>
        </w:rPr>
        <w:t>állománya 93.209.870,-Ft. Az Önkormányzat készlet állományát a Programiroda munkatársainak munkaruhája, eszközei, a babacsomagok és nyugdíjas csomagok összeállításához szükséges termékek, könyvek és társasjátékok alkotják. A Polgármesteri Hivatalnál a készletállományt a Közterület Felügyelet munkaruhái teszik ki.</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pénzkészlet</w:t>
      </w:r>
      <w:r w:rsidRPr="00021EF0">
        <w:rPr>
          <w:sz w:val="22"/>
          <w:szCs w:val="22"/>
        </w:rPr>
        <w:t xml:space="preserve"> nyitó állománya 8.267.348.888,-Ft volt, a záró állomány 7.538.182.894,-Ft. A pénzkészlet tartalmazza a Kincstárnál vezetett pályázatokhoz kapcsolódó számlákon lévő támogatási előlegeket, valamint az Önkormányzat költségvetési számlájához kapcsolódó összes alszámlát, így azokat a számlákat is, melyek bevételei nem az önkormányzatot illetik meg, de beszedésüket, könyvelésüket az Önkormányzat végzi (pl. gépjárműadó számla, illetékek, idegen bevételek). Tartalmazza továbbá az önkormányzat irányítása alá tartozó költségvetési szervek pénzkészletét is.</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pénzeszközök változását a 13/e. sz. melléklet mutatja be.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követelések</w:t>
      </w:r>
      <w:r w:rsidRPr="00021EF0">
        <w:rPr>
          <w:sz w:val="22"/>
          <w:szCs w:val="22"/>
        </w:rPr>
        <w:t xml:space="preserve"> állománya az előző évhez képest 112.678.470,-Ft-tal csökkent. Év végén a záróállomány  4.053.113.719,-Ft. Ebből a </w:t>
      </w:r>
      <w:r w:rsidRPr="00021EF0">
        <w:rPr>
          <w:i/>
          <w:sz w:val="22"/>
          <w:szCs w:val="22"/>
        </w:rPr>
        <w:t>költségvetési évet követően esedékes követelések</w:t>
      </w:r>
      <w:r w:rsidRPr="00021EF0">
        <w:rPr>
          <w:sz w:val="22"/>
          <w:szCs w:val="22"/>
        </w:rPr>
        <w:t xml:space="preserve"> állománya  3.759.959.577,-Ft. Itt jelenik meg a Városi Sportegyesület Dunakeszi részére nyújtott visszatérítendő támogatás 1.456.894.379,-Ft-os összege, a vállalkozások által benyújtott adóbevallások alapján a 2024. évre kivetett helyi iparűzési adó összege 2.154.528.026,-Ft, az egyéb adónemeken (építményadó, telekadó, pótlék, bírság), jellemzően részletfizetési megállapodások miatt előírt követelések összege 20.887.049,-Ft, a területbérletre, helyiségbérletre, parkoló területbérletre megkötött szerződések alapján előírt összeg 124.325.209,-Ft, valamint a bérlakás értékesítésre megkötött szerződések alapján előírt követelés 3.324.914,-Ft.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i/>
          <w:sz w:val="22"/>
          <w:szCs w:val="22"/>
        </w:rPr>
        <w:t>költségvetési évben esedékes követelések</w:t>
      </w:r>
      <w:r w:rsidRPr="00021EF0">
        <w:rPr>
          <w:sz w:val="22"/>
          <w:szCs w:val="22"/>
        </w:rPr>
        <w:t xml:space="preserve"> (lejárt követelésállomány) összege 270.734.616,-Ft. A működési bevételek követelésösszege 54.937.758,-Ft, ebből a legnagyobb tétel a DDN beruházáshoz kapcsolódó kiszámlázott közüzemi díjak 34.624.201,-Ft, illetve a kisajátításokra megfizetett összegekből -bírósági döntés alapján - visszafizetendő 12.077.403,-Ft. A fennmaradó összeg a területbérlet, parkoló területbérlet, lakbér és kapcsolódó közüzemi díjak hátralékából tevődik össze. A lakásértékesítésekhez kapcsolódó lejárt követelés állomány összege 4.135.772,-Ft. </w:t>
      </w:r>
    </w:p>
    <w:p w:rsidR="001B1D7D" w:rsidRPr="00021EF0" w:rsidRDefault="001B1D7D" w:rsidP="001B1D7D">
      <w:pPr>
        <w:overflowPunct/>
        <w:autoSpaceDE/>
        <w:autoSpaceDN/>
        <w:adjustRightInd/>
        <w:spacing w:line="360" w:lineRule="auto"/>
        <w:jc w:val="both"/>
        <w:textAlignment w:val="auto"/>
        <w:rPr>
          <w:color w:val="000000"/>
          <w:sz w:val="22"/>
          <w:szCs w:val="22"/>
        </w:rPr>
      </w:pPr>
      <w:r w:rsidRPr="00021EF0">
        <w:rPr>
          <w:sz w:val="22"/>
          <w:szCs w:val="22"/>
        </w:rPr>
        <w:lastRenderedPageBreak/>
        <w:t>A közhatalmi bevételek lejárt követelésállományának mérlegértéke 210.667.670,-Ft.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b/>
          <w:sz w:val="22"/>
          <w:szCs w:val="22"/>
        </w:rPr>
      </w:pPr>
      <w:r w:rsidRPr="00021EF0">
        <w:rPr>
          <w:b/>
          <w:sz w:val="22"/>
          <w:szCs w:val="22"/>
        </w:rPr>
        <w:t>Az adóhátralékok növekedésének elkerülése, illetve csökkentése érdekében 2024. évben az alábbi intézkedéseket tettük:</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2024. október hónapban mintegy 10.962 db fizetési felhívást tartalmazó egyenlegértesítő került kiküldésre a város valamennyi adók módjára behajtandó köztartozással rendelkező adózója, lakója részére.</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Az adóhatóság által foganatosítható végrehajtási eljárásokról szóló törvény (továbbiakban: Avt.) eltérő rendelkezése hiányában az adóhatóság által foganatosított végrehajtási eljárásban az adóigazgatási rendtartásról szóló törvény (továbbiakban: Air.) és az adózás rendjéről szóló törvény (továbbiakban: Art.) szabályait kell alkalmazni.</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Az Avt. 5-6. §-ai szerint a végrehajtási cselekmények sorrendjét, időpontját az adóhatóság e törvény keretei között maga határozza meg. A végrehajtási cselekmények közül azokat kell foganatosítani, amelyekkel a leghatékonyabban érhető el a végrehajtás célja, ugyanakkor az adósra nézve – az arányosság elvének figyelembevételével – a legkisebb mértékű korlátozással jár.</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 xml:space="preserve">Ezért amennyiben ismert a hátralékos vállalkozó bankszámlaszáma, hatósági átutalási megbízást nyújtottunk be a számlát vezető pénzintézethez. </w:t>
      </w:r>
    </w:p>
    <w:p w:rsidR="001B1D7D" w:rsidRPr="00021EF0" w:rsidRDefault="001B1D7D" w:rsidP="001B1D7D">
      <w:pPr>
        <w:overflowPunct/>
        <w:autoSpaceDE/>
        <w:autoSpaceDN/>
        <w:adjustRightInd/>
        <w:spacing w:line="360" w:lineRule="auto"/>
        <w:jc w:val="both"/>
        <w:textAlignment w:val="auto"/>
        <w:rPr>
          <w:rFonts w:eastAsiaTheme="minorHAnsi"/>
          <w:sz w:val="22"/>
          <w:szCs w:val="22"/>
        </w:rPr>
      </w:pPr>
      <w:r w:rsidRPr="00021EF0">
        <w:rPr>
          <w:rFonts w:eastAsiaTheme="minorHAnsi"/>
          <w:sz w:val="22"/>
          <w:szCs w:val="22"/>
          <w:lang w:eastAsia="en-US"/>
        </w:rPr>
        <w:t>Számos esetben ugyanazon adózóval szemben többször is kezdeményez végrehajtási cselekményt az adóhatóság.</w:t>
      </w:r>
    </w:p>
    <w:tbl>
      <w:tblPr>
        <w:tblW w:w="8120" w:type="dxa"/>
        <w:jc w:val="center"/>
        <w:tblCellMar>
          <w:left w:w="0" w:type="dxa"/>
          <w:right w:w="0" w:type="dxa"/>
        </w:tblCellMar>
        <w:tblLook w:val="04A0" w:firstRow="1" w:lastRow="0" w:firstColumn="1" w:lastColumn="0" w:noHBand="0" w:noVBand="1"/>
      </w:tblPr>
      <w:tblGrid>
        <w:gridCol w:w="3060"/>
        <w:gridCol w:w="1340"/>
        <w:gridCol w:w="2120"/>
        <w:gridCol w:w="1600"/>
      </w:tblGrid>
      <w:tr w:rsidR="001B1D7D" w:rsidRPr="00021EF0" w:rsidTr="002919D1">
        <w:trPr>
          <w:trHeight w:val="330"/>
          <w:jc w:val="center"/>
        </w:trPr>
        <w:tc>
          <w:tcPr>
            <w:tcW w:w="3060" w:type="dxa"/>
            <w:tcBorders>
              <w:top w:val="double" w:sz="6" w:space="0" w:color="auto"/>
              <w:left w:val="double" w:sz="6" w:space="0" w:color="auto"/>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Végrehajtási cselekmény</w:t>
            </w:r>
          </w:p>
        </w:tc>
        <w:tc>
          <w:tcPr>
            <w:tcW w:w="1340" w:type="dxa"/>
            <w:tcBorders>
              <w:top w:val="double" w:sz="6" w:space="0" w:color="auto"/>
              <w:left w:val="nil"/>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Darabszám</w:t>
            </w:r>
          </w:p>
        </w:tc>
        <w:tc>
          <w:tcPr>
            <w:tcW w:w="2120" w:type="dxa"/>
            <w:tcBorders>
              <w:top w:val="double" w:sz="6" w:space="0" w:color="auto"/>
              <w:left w:val="nil"/>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Tartozás összege eFt</w:t>
            </w:r>
          </w:p>
        </w:tc>
        <w:tc>
          <w:tcPr>
            <w:tcW w:w="1600" w:type="dxa"/>
            <w:tcBorders>
              <w:top w:val="double" w:sz="6" w:space="0" w:color="auto"/>
              <w:left w:val="nil"/>
              <w:bottom w:val="double" w:sz="6" w:space="0" w:color="auto"/>
              <w:right w:val="double" w:sz="6"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Befolyt összeg eFt</w:t>
            </w:r>
          </w:p>
        </w:tc>
      </w:tr>
      <w:tr w:rsidR="001B1D7D" w:rsidRPr="00021EF0" w:rsidTr="002919D1">
        <w:trPr>
          <w:trHeight w:val="525"/>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both"/>
              <w:textAlignment w:val="auto"/>
              <w:rPr>
                <w:rFonts w:eastAsiaTheme="minorHAnsi"/>
                <w:color w:val="000000"/>
                <w:sz w:val="22"/>
                <w:szCs w:val="22"/>
                <w:lang w:eastAsia="en-US"/>
              </w:rPr>
            </w:pPr>
            <w:r w:rsidRPr="00021EF0">
              <w:rPr>
                <w:rFonts w:eastAsiaTheme="minorHAnsi"/>
                <w:color w:val="000000"/>
                <w:sz w:val="22"/>
                <w:szCs w:val="22"/>
                <w:lang w:eastAsia="en-US"/>
              </w:rPr>
              <w:t>Hatósági átutalási megbízás (inkasszó)</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1.341</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387.126</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111.421</w:t>
            </w:r>
          </w:p>
        </w:tc>
      </w:tr>
      <w:tr w:rsidR="001B1D7D" w:rsidRPr="00021EF0" w:rsidTr="002919D1">
        <w:trPr>
          <w:trHeight w:val="300"/>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both"/>
              <w:textAlignment w:val="auto"/>
              <w:rPr>
                <w:rFonts w:eastAsiaTheme="minorHAnsi"/>
                <w:color w:val="000000"/>
                <w:sz w:val="22"/>
                <w:szCs w:val="22"/>
                <w:lang w:eastAsia="en-US"/>
              </w:rPr>
            </w:pPr>
            <w:r w:rsidRPr="00021EF0">
              <w:rPr>
                <w:rFonts w:eastAsiaTheme="minorHAnsi"/>
                <w:color w:val="000000"/>
                <w:sz w:val="22"/>
                <w:szCs w:val="22"/>
                <w:lang w:eastAsia="en-US"/>
              </w:rPr>
              <w:t>Munkabér és nyugdíj tiltása</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43</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14.005</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2.871</w:t>
            </w:r>
          </w:p>
        </w:tc>
      </w:tr>
      <w:tr w:rsidR="001B1D7D" w:rsidRPr="00021EF0" w:rsidTr="002919D1">
        <w:trPr>
          <w:trHeight w:val="300"/>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both"/>
              <w:textAlignment w:val="auto"/>
              <w:rPr>
                <w:rFonts w:eastAsiaTheme="minorHAnsi"/>
                <w:color w:val="000000"/>
                <w:sz w:val="22"/>
                <w:szCs w:val="22"/>
                <w:lang w:eastAsia="en-US"/>
              </w:rPr>
            </w:pPr>
            <w:r w:rsidRPr="00021EF0">
              <w:rPr>
                <w:rFonts w:eastAsiaTheme="minorHAnsi"/>
                <w:color w:val="000000"/>
                <w:sz w:val="22"/>
                <w:szCs w:val="22"/>
                <w:lang w:eastAsia="en-US"/>
              </w:rPr>
              <w:t>Hatósági átvezetés</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625</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r>
      <w:tr w:rsidR="001B1D7D" w:rsidRPr="00021EF0" w:rsidTr="002919D1">
        <w:trPr>
          <w:trHeight w:val="300"/>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both"/>
              <w:textAlignment w:val="auto"/>
              <w:rPr>
                <w:rFonts w:eastAsiaTheme="minorHAnsi"/>
                <w:color w:val="000000"/>
                <w:sz w:val="22"/>
                <w:szCs w:val="22"/>
                <w:lang w:eastAsia="en-US"/>
              </w:rPr>
            </w:pPr>
            <w:r w:rsidRPr="00021EF0">
              <w:rPr>
                <w:rFonts w:eastAsiaTheme="minorHAnsi"/>
                <w:color w:val="000000"/>
                <w:sz w:val="22"/>
                <w:szCs w:val="22"/>
                <w:lang w:eastAsia="en-US"/>
              </w:rPr>
              <w:t>Hitelezői igény benyújtása</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46</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r>
    </w:tbl>
    <w:p w:rsidR="001B1D7D" w:rsidRPr="00021EF0" w:rsidRDefault="001B1D7D" w:rsidP="001B1D7D">
      <w:pPr>
        <w:overflowPunct/>
        <w:autoSpaceDE/>
        <w:autoSpaceDN/>
        <w:adjustRightInd/>
        <w:spacing w:line="360" w:lineRule="auto"/>
        <w:jc w:val="both"/>
        <w:textAlignment w:val="auto"/>
        <w:rPr>
          <w:rFonts w:eastAsiaTheme="minorHAnsi"/>
          <w:sz w:val="22"/>
          <w:szCs w:val="22"/>
        </w:rPr>
      </w:pPr>
    </w:p>
    <w:tbl>
      <w:tblPr>
        <w:tblW w:w="8120" w:type="dxa"/>
        <w:jc w:val="center"/>
        <w:tblCellMar>
          <w:left w:w="0" w:type="dxa"/>
          <w:right w:w="0" w:type="dxa"/>
        </w:tblCellMar>
        <w:tblLook w:val="04A0" w:firstRow="1" w:lastRow="0" w:firstColumn="1" w:lastColumn="0" w:noHBand="0" w:noVBand="1"/>
      </w:tblPr>
      <w:tblGrid>
        <w:gridCol w:w="3060"/>
        <w:gridCol w:w="1340"/>
        <w:gridCol w:w="2120"/>
        <w:gridCol w:w="1600"/>
      </w:tblGrid>
      <w:tr w:rsidR="001B1D7D" w:rsidRPr="00021EF0" w:rsidTr="002919D1">
        <w:trPr>
          <w:trHeight w:val="795"/>
          <w:jc w:val="center"/>
        </w:trPr>
        <w:tc>
          <w:tcPr>
            <w:tcW w:w="3060" w:type="dxa"/>
            <w:tcBorders>
              <w:top w:val="double" w:sz="6" w:space="0" w:color="auto"/>
              <w:left w:val="double" w:sz="6" w:space="0" w:color="auto"/>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Egyéb, végrehajtási cselekményekhez kapcsolódó feladatok</w:t>
            </w:r>
          </w:p>
        </w:tc>
        <w:tc>
          <w:tcPr>
            <w:tcW w:w="1340" w:type="dxa"/>
            <w:tcBorders>
              <w:top w:val="double" w:sz="6" w:space="0" w:color="auto"/>
              <w:left w:val="nil"/>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Darabszám</w:t>
            </w:r>
          </w:p>
        </w:tc>
        <w:tc>
          <w:tcPr>
            <w:tcW w:w="2120" w:type="dxa"/>
            <w:tcBorders>
              <w:top w:val="double" w:sz="6" w:space="0" w:color="auto"/>
              <w:left w:val="nil"/>
              <w:bottom w:val="double" w:sz="6"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Tartozás összege eFt</w:t>
            </w:r>
          </w:p>
        </w:tc>
        <w:tc>
          <w:tcPr>
            <w:tcW w:w="1600" w:type="dxa"/>
            <w:tcBorders>
              <w:top w:val="double" w:sz="6" w:space="0" w:color="auto"/>
              <w:left w:val="nil"/>
              <w:bottom w:val="double" w:sz="6" w:space="0" w:color="auto"/>
              <w:right w:val="double" w:sz="6"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b/>
                <w:bCs/>
                <w:color w:val="000000"/>
                <w:sz w:val="22"/>
                <w:szCs w:val="22"/>
                <w:lang w:eastAsia="en-US"/>
              </w:rPr>
            </w:pPr>
            <w:r w:rsidRPr="00021EF0">
              <w:rPr>
                <w:rFonts w:eastAsiaTheme="minorHAnsi"/>
                <w:b/>
                <w:bCs/>
                <w:color w:val="000000"/>
                <w:sz w:val="22"/>
                <w:szCs w:val="22"/>
                <w:lang w:eastAsia="en-US"/>
              </w:rPr>
              <w:t>Befolyt összeg eFt</w:t>
            </w:r>
          </w:p>
        </w:tc>
      </w:tr>
      <w:tr w:rsidR="001B1D7D" w:rsidRPr="00021EF0" w:rsidTr="002919D1">
        <w:trPr>
          <w:trHeight w:val="315"/>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both"/>
              <w:textAlignment w:val="auto"/>
              <w:rPr>
                <w:rFonts w:eastAsiaTheme="minorHAnsi"/>
                <w:color w:val="000000"/>
                <w:sz w:val="22"/>
                <w:szCs w:val="22"/>
                <w:lang w:eastAsia="en-US"/>
              </w:rPr>
            </w:pPr>
            <w:r w:rsidRPr="00021EF0">
              <w:rPr>
                <w:rFonts w:eastAsiaTheme="minorHAnsi"/>
                <w:color w:val="000000"/>
                <w:sz w:val="22"/>
                <w:szCs w:val="22"/>
                <w:lang w:eastAsia="en-US"/>
              </w:rPr>
              <w:t>Fizetési felszólítás</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2.751</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580.751</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392.932</w:t>
            </w:r>
          </w:p>
        </w:tc>
      </w:tr>
      <w:tr w:rsidR="001B1D7D" w:rsidRPr="00021EF0" w:rsidTr="002919D1">
        <w:trPr>
          <w:trHeight w:val="510"/>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textAlignment w:val="auto"/>
              <w:rPr>
                <w:rFonts w:eastAsiaTheme="minorHAnsi"/>
                <w:color w:val="000000"/>
                <w:sz w:val="22"/>
                <w:szCs w:val="22"/>
                <w:lang w:eastAsia="en-US"/>
              </w:rPr>
            </w:pPr>
            <w:r w:rsidRPr="00021EF0">
              <w:rPr>
                <w:rFonts w:eastAsiaTheme="minorHAnsi"/>
                <w:color w:val="000000"/>
                <w:sz w:val="22"/>
                <w:szCs w:val="22"/>
                <w:lang w:eastAsia="en-US"/>
              </w:rPr>
              <w:t>Adatkérés (Pénzintézeti, munkahelyi, NAV adatok)</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1.238</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r>
      <w:tr w:rsidR="001B1D7D" w:rsidRPr="00021EF0" w:rsidTr="002919D1">
        <w:trPr>
          <w:trHeight w:val="1020"/>
          <w:jc w:val="center"/>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textAlignment w:val="auto"/>
              <w:rPr>
                <w:rFonts w:eastAsiaTheme="minorHAnsi"/>
                <w:color w:val="000000"/>
                <w:sz w:val="22"/>
                <w:szCs w:val="22"/>
                <w:lang w:eastAsia="en-US"/>
              </w:rPr>
            </w:pPr>
            <w:r w:rsidRPr="00021EF0">
              <w:rPr>
                <w:rFonts w:eastAsiaTheme="minorHAnsi"/>
                <w:color w:val="000000"/>
                <w:sz w:val="22"/>
                <w:szCs w:val="22"/>
                <w:lang w:eastAsia="en-US"/>
              </w:rPr>
              <w:t>Cégbíróság megkeresése (számlaszám hiányának és kényszertörlés esetén a tartozás bejelentése)</w:t>
            </w:r>
          </w:p>
        </w:tc>
        <w:tc>
          <w:tcPr>
            <w:tcW w:w="13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107</w:t>
            </w:r>
          </w:p>
        </w:tc>
        <w:tc>
          <w:tcPr>
            <w:tcW w:w="21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B1D7D" w:rsidRPr="00021EF0" w:rsidRDefault="001B1D7D" w:rsidP="002919D1">
            <w:pPr>
              <w:overflowPunct/>
              <w:autoSpaceDE/>
              <w:autoSpaceDN/>
              <w:adjustRightInd/>
              <w:spacing w:line="252" w:lineRule="auto"/>
              <w:jc w:val="center"/>
              <w:textAlignment w:val="auto"/>
              <w:rPr>
                <w:rFonts w:eastAsiaTheme="minorHAnsi"/>
                <w:color w:val="000000"/>
                <w:sz w:val="22"/>
                <w:szCs w:val="22"/>
                <w:lang w:eastAsia="en-US"/>
              </w:rPr>
            </w:pPr>
            <w:r w:rsidRPr="00021EF0">
              <w:rPr>
                <w:rFonts w:eastAsiaTheme="minorHAnsi"/>
                <w:color w:val="000000"/>
                <w:sz w:val="22"/>
                <w:szCs w:val="22"/>
                <w:lang w:eastAsia="en-US"/>
              </w:rPr>
              <w:t>-</w:t>
            </w:r>
          </w:p>
        </w:tc>
      </w:tr>
    </w:tbl>
    <w:p w:rsidR="001B1D7D" w:rsidRPr="00021EF0" w:rsidRDefault="001B1D7D" w:rsidP="001B1D7D">
      <w:pPr>
        <w:overflowPunct/>
        <w:autoSpaceDE/>
        <w:autoSpaceDN/>
        <w:adjustRightInd/>
        <w:spacing w:after="200" w:line="360" w:lineRule="auto"/>
        <w:jc w:val="both"/>
        <w:textAlignment w:val="auto"/>
        <w:rPr>
          <w:rFonts w:eastAsiaTheme="minorHAnsi"/>
          <w:sz w:val="22"/>
          <w:szCs w:val="22"/>
        </w:rPr>
      </w:pP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lastRenderedPageBreak/>
        <w:t>Az adóhatóság a végrehajtási eljárás keretében 14 db jelzálogjog bejegyzése iránti kérelmet nyújtott be a Földhivatal felé 3.969 eFt összegre, valamint 13 db végrehajtási jog bejegyzése iránti kérelmet nyújtott be 29.733 eFt összegre.</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Magas azoknak a hátralékos adózóknak az aránya, akik felszámolás alatt, végrehajtás alatt, vagy kényszertörlési eljárás alatt állnak. Ezekben az esetekben igényünket bejelentettük a felszámoló felé. Bevétel viszont csak a cég felszámolási eljárásának befejezése után várható. Többségében azonban a felszámoló tájékoztatása szerint a cég nem rendelkezik megfelelő vagyonnal, ezért a hátralék behajthatatlanság miatt törlésre kerül.</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 xml:space="preserve">Elhunyt hátralékos adózók esetében a hagyatékátadó végzés szerinti örökösök megkeresésre kerültek. Az örökhagyó adószámláin fennálló hátraléka esetében a 2003. évi XCII. törvény 35. § (2) bekezdés a) pontja szerint az örököst örökrésze arányában fizetésre köteleztük. </w:t>
      </w:r>
    </w:p>
    <w:p w:rsidR="001B1D7D" w:rsidRPr="00021EF0" w:rsidRDefault="001B1D7D" w:rsidP="001B1D7D">
      <w:pPr>
        <w:overflowPunct/>
        <w:autoSpaceDE/>
        <w:autoSpaceDN/>
        <w:adjustRightInd/>
        <w:spacing w:after="200" w:line="360" w:lineRule="auto"/>
        <w:jc w:val="both"/>
        <w:textAlignment w:val="auto"/>
        <w:rPr>
          <w:rFonts w:eastAsiaTheme="minorHAnsi"/>
          <w:sz w:val="22"/>
          <w:szCs w:val="22"/>
          <w:lang w:eastAsia="en-US"/>
        </w:rPr>
      </w:pPr>
      <w:r w:rsidRPr="00021EF0">
        <w:rPr>
          <w:rFonts w:eastAsiaTheme="minorHAnsi"/>
          <w:sz w:val="22"/>
          <w:szCs w:val="22"/>
          <w:lang w:eastAsia="en-US"/>
        </w:rPr>
        <w:t>Az adókövetelések behajtására tett intézkedések ellenére 2024. évben behajthatatlanság, illetve elévülés miatt építményadó esetében 3.509.102,-Ft, iparűzési adó esetében 20.084.481,-Ft, telekadó esetében 742.320-Ft, késedelmi pótlék esetében 1.868.994,-Ft és bírság esetében 3.019.197,-Ft, összesen 29.224.094,-Ft követelés leírása történt.</w:t>
      </w:r>
    </w:p>
    <w:p w:rsidR="001B1D7D" w:rsidRPr="00021EF0" w:rsidRDefault="001B1D7D" w:rsidP="001B1D7D">
      <w:pPr>
        <w:overflowPunct/>
        <w:autoSpaceDE/>
        <w:autoSpaceDN/>
        <w:adjustRightInd/>
        <w:textAlignment w:val="auto"/>
        <w:rPr>
          <w:rFonts w:eastAsiaTheme="minorHAnsi"/>
          <w:sz w:val="22"/>
          <w:szCs w:val="22"/>
          <w:lang w:eastAsia="en-US"/>
        </w:rPr>
      </w:pPr>
    </w:p>
    <w:p w:rsidR="001B1D7D" w:rsidRPr="00021EF0" w:rsidRDefault="001B1D7D" w:rsidP="001B1D7D"/>
    <w:p w:rsidR="001B1D7D" w:rsidRPr="00021EF0" w:rsidRDefault="001B1D7D" w:rsidP="001B1D7D">
      <w:pPr>
        <w:overflowPunct/>
        <w:autoSpaceDE/>
        <w:autoSpaceDN/>
        <w:adjustRightInd/>
        <w:textAlignment w:val="auto"/>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 xml:space="preserve">Vagyonkezelésbe adott eszközökkel kapcsolatos visszapótlási követelés elszámolása </w:t>
      </w:r>
      <w:r w:rsidRPr="00021EF0">
        <w:rPr>
          <w:sz w:val="22"/>
          <w:szCs w:val="22"/>
        </w:rPr>
        <w:t>102.328.998,-Ft. A követelés a Dunakeszi Közüzemi Nonprofit Kft-vel szemben szerepel a mérlegben.</w:t>
      </w:r>
    </w:p>
    <w:p w:rsidR="001B1D7D" w:rsidRPr="00021EF0" w:rsidRDefault="001B1D7D" w:rsidP="001B1D7D">
      <w:pPr>
        <w:keepNext/>
        <w:overflowPunct/>
        <w:autoSpaceDE/>
        <w:autoSpaceDN/>
        <w:adjustRightInd/>
        <w:spacing w:line="360" w:lineRule="auto"/>
        <w:textAlignment w:val="auto"/>
        <w:outlineLvl w:val="4"/>
        <w:rPr>
          <w:bCs/>
          <w:sz w:val="22"/>
          <w:szCs w:val="22"/>
        </w:rPr>
      </w:pPr>
    </w:p>
    <w:p w:rsidR="001B1D7D" w:rsidRPr="00021EF0" w:rsidRDefault="001B1D7D" w:rsidP="001B1D7D">
      <w:pPr>
        <w:keepNext/>
        <w:overflowPunct/>
        <w:autoSpaceDE/>
        <w:autoSpaceDN/>
        <w:adjustRightInd/>
        <w:spacing w:line="360" w:lineRule="auto"/>
        <w:jc w:val="both"/>
        <w:textAlignment w:val="auto"/>
        <w:outlineLvl w:val="4"/>
        <w:rPr>
          <w:bCs/>
          <w:sz w:val="22"/>
          <w:szCs w:val="22"/>
        </w:rPr>
      </w:pPr>
      <w:r w:rsidRPr="00021EF0">
        <w:rPr>
          <w:b/>
          <w:bCs/>
          <w:sz w:val="22"/>
          <w:szCs w:val="22"/>
        </w:rPr>
        <w:t xml:space="preserve">Letétre, megőrzésre, fedezetkezelésre átadott pénzeszközök, biztosítékok </w:t>
      </w:r>
      <w:r w:rsidRPr="00021EF0">
        <w:rPr>
          <w:bCs/>
          <w:sz w:val="22"/>
          <w:szCs w:val="22"/>
        </w:rPr>
        <w:t>13.580.800,-Ft-ot tesznek ki. Itt jelennek meg a bírósági letétbe helyezett pénzek, illetve az Ovifoci támogatási letétek. Ez utóbbiak összege 12.850.000,-Ft.</w:t>
      </w:r>
    </w:p>
    <w:p w:rsidR="001B1D7D" w:rsidRPr="00021EF0" w:rsidRDefault="001B1D7D" w:rsidP="001B1D7D">
      <w:pPr>
        <w:overflowPunct/>
        <w:autoSpaceDE/>
        <w:autoSpaceDN/>
        <w:adjustRightInd/>
        <w:spacing w:line="360" w:lineRule="auto"/>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egyéb sajátos eszközoldali elszámolások</w:t>
      </w:r>
      <w:r w:rsidRPr="00021EF0">
        <w:rPr>
          <w:sz w:val="22"/>
          <w:szCs w:val="22"/>
        </w:rPr>
        <w:t xml:space="preserve"> összege 5.653.516,-Ft, mely az általános forgalmi adó bevallás alapján a fizetendő és a levonható általános forgalmi adó különbözete.  A levonható általános forgalmi adó 12.991.522,-Ft, a fizetendő általános forgalmi adó 7.338.006,-Ft volt.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Az </w:t>
      </w:r>
      <w:r w:rsidRPr="00021EF0">
        <w:rPr>
          <w:b/>
          <w:sz w:val="22"/>
          <w:szCs w:val="22"/>
        </w:rPr>
        <w:t>aktív időbeli elhatárolás</w:t>
      </w:r>
      <w:r w:rsidRPr="00021EF0">
        <w:rPr>
          <w:sz w:val="22"/>
          <w:szCs w:val="22"/>
        </w:rPr>
        <w:t xml:space="preserve"> 108.543.019,-Ft. Az eredményszemléletű bevételek aktív időbeli elhatárolásának összege 89.142.985,-Ft, ebből az önkormányzati kötvény kamat elhatárolása 35.979.231,-Ft, a területbérlethez, továbbszámlázott szolgálatásokhoz, egyéb működési bevételhez kapcsolódó  elhatárolás összege 38.205.468,-Ft. A hulladékról szóló 2012. évi CLXXXV. törvény 30/C. § (2) bekezdése alapján a kiterjesztett gyártói felelősségi (EPR) díj  összegéből a települési önkormányzatokat megillető rész elhatárolása 34.358.320,-Ft volt.</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lastRenderedPageBreak/>
        <w:t xml:space="preserve">A költségek, ráfordítások aktív időbeli elhatárolása 19.400.034,-Ft, itt kell kimutatni </w:t>
      </w:r>
      <w:r w:rsidRPr="00021EF0">
        <w:rPr>
          <w:sz w:val="22"/>
          <w:szCs w:val="22"/>
          <w:shd w:val="clear" w:color="auto" w:fill="FFFFFF"/>
        </w:rPr>
        <w:t>a tárgyévben kifizetett, de a következő éveket terhelő költségeket. </w:t>
      </w:r>
    </w:p>
    <w:p w:rsidR="001B1D7D" w:rsidRPr="00021EF0" w:rsidRDefault="001B1D7D" w:rsidP="001B1D7D">
      <w:pPr>
        <w:overflowPunct/>
        <w:autoSpaceDE/>
        <w:autoSpaceDN/>
        <w:adjustRightInd/>
        <w:spacing w:line="360" w:lineRule="auto"/>
        <w:textAlignment w:val="auto"/>
        <w:rPr>
          <w:sz w:val="22"/>
          <w:szCs w:val="22"/>
        </w:rPr>
      </w:pPr>
    </w:p>
    <w:p w:rsidR="001B1D7D" w:rsidRPr="00021EF0" w:rsidRDefault="001B1D7D" w:rsidP="001B1D7D">
      <w:pPr>
        <w:overflowPunct/>
        <w:autoSpaceDE/>
        <w:autoSpaceDN/>
        <w:adjustRightInd/>
        <w:spacing w:line="360" w:lineRule="auto"/>
        <w:jc w:val="both"/>
        <w:textAlignment w:val="auto"/>
        <w:rPr>
          <w:rFonts w:ascii="Garamond" w:hAnsi="Garamond"/>
          <w:b/>
          <w:sz w:val="24"/>
          <w:szCs w:val="24"/>
        </w:rPr>
      </w:pPr>
    </w:p>
    <w:p w:rsidR="001B1D7D" w:rsidRPr="00021EF0" w:rsidRDefault="001B1D7D" w:rsidP="001B1D7D">
      <w:pPr>
        <w:overflowPunct/>
        <w:autoSpaceDE/>
        <w:autoSpaceDN/>
        <w:adjustRightInd/>
        <w:spacing w:line="360" w:lineRule="auto"/>
        <w:jc w:val="both"/>
        <w:textAlignment w:val="auto"/>
        <w:rPr>
          <w:rFonts w:ascii="Garamond" w:hAnsi="Garamond"/>
          <w:b/>
          <w:sz w:val="24"/>
          <w:szCs w:val="24"/>
        </w:rPr>
      </w:pPr>
      <w:r w:rsidRPr="00021EF0">
        <w:rPr>
          <w:rFonts w:ascii="Garamond" w:hAnsi="Garamond"/>
          <w:b/>
          <w:sz w:val="24"/>
          <w:szCs w:val="24"/>
        </w:rPr>
        <w:t>FORRÁSOK</w:t>
      </w:r>
    </w:p>
    <w:p w:rsidR="001B1D7D" w:rsidRPr="00021EF0" w:rsidRDefault="001B1D7D" w:rsidP="001B1D7D">
      <w:pPr>
        <w:overflowPunct/>
        <w:autoSpaceDE/>
        <w:autoSpaceDN/>
        <w:adjustRightInd/>
        <w:spacing w:line="360" w:lineRule="auto"/>
        <w:jc w:val="both"/>
        <w:textAlignment w:val="auto"/>
        <w:rPr>
          <w:rFonts w:ascii="Garamond" w:hAnsi="Garamond"/>
          <w:sz w:val="24"/>
          <w:szCs w:val="24"/>
        </w:rPr>
      </w:pPr>
    </w:p>
    <w:p w:rsidR="001B1D7D" w:rsidRPr="00021EF0" w:rsidRDefault="001B1D7D" w:rsidP="001B1D7D">
      <w:pPr>
        <w:overflowPunct/>
        <w:autoSpaceDE/>
        <w:autoSpaceDN/>
        <w:adjustRightInd/>
        <w:spacing w:line="360" w:lineRule="auto"/>
        <w:jc w:val="both"/>
        <w:textAlignment w:val="auto"/>
        <w:rPr>
          <w:rFonts w:ascii="Garamond" w:hAnsi="Garamond" w:cs="Arial CE"/>
          <w:sz w:val="24"/>
          <w:szCs w:val="24"/>
        </w:rPr>
      </w:pPr>
      <w:r w:rsidRPr="00021EF0">
        <w:rPr>
          <w:sz w:val="22"/>
          <w:szCs w:val="22"/>
        </w:rPr>
        <w:t xml:space="preserve">Az Önkormányzat mérlegében a saját tőke  44.724.750.093,-Ft, a nyitóhoz 43.696.444.262,-Ft-hoz képest 1.028.305.831,-Ft a növekedés. A felhalmozott eredmény összege  az előző évi mérleg szerinti eredmény összegével 3.956.407.194,-Ft-tal nőtt. 2024. évben a mérleg szerinti eredmény 1.247.708.496,-Ft, ez mutatja meg a 2024. évben előírt követelések, keletkezett költségek és ráfordítások különbözetét. A mérleg szerinti eredményt befolyásolja, hogy a felhalmozási célra kapott pénzeszközök, melyek tárgyi eszköz beszerzéshez, felújításához kapcsolódnak eredményként nem mutathatók ki, csak olyan mértékben, amilyen mértékben az adott eszközhöz kapcsolódva költség, ráfordítás merül fel.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kötelezettségek összege</w:t>
      </w:r>
      <w:r w:rsidRPr="00021EF0">
        <w:rPr>
          <w:sz w:val="22"/>
          <w:szCs w:val="22"/>
        </w:rPr>
        <w:t xml:space="preserve"> 622.115.754,-Ft, ebből a költségvetési évet követően esedékes kötelezettség 599.047.991,-Ft. Itt jelennek meg a szerződéssel lekötött, de még ki nem fizetett tételek.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kapott előlegek</w:t>
      </w:r>
      <w:r w:rsidRPr="00021EF0">
        <w:rPr>
          <w:sz w:val="22"/>
          <w:szCs w:val="22"/>
        </w:rPr>
        <w:t xml:space="preserve"> (túlfizetések) összege 718.862.097,-Ft, ebből a helyi adók túlfizetése 713.143.407,-Ft.</w:t>
      </w: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Más szervezetet megillető bevételek elszámolása</w:t>
      </w:r>
      <w:r w:rsidRPr="00021EF0">
        <w:rPr>
          <w:sz w:val="22"/>
          <w:szCs w:val="22"/>
        </w:rPr>
        <w:t xml:space="preserve"> 1.747.934,-Ft. Itt kell kimutatni azoknak a bankszámlán lévő összegeknek az állományát, melyek nem az Önkormányzatot illetik meg. A gépjárműadó számlán 852.085,-Ft, közigazgatási hatósági eljárási illeték fizetési számlán 63.000,-Ft, köztartozás idegen bevétel fizetési számlán 832.849,-Ft volt 2024. december 31-én. Ezek együttes összege jelenik meg ezen a mérlegsoron.</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w:t>
      </w:r>
      <w:r w:rsidRPr="00021EF0">
        <w:rPr>
          <w:b/>
          <w:sz w:val="22"/>
          <w:szCs w:val="22"/>
        </w:rPr>
        <w:t xml:space="preserve">letétre, megőrzésre, fedezetkezelésre átvett pénzeszközök </w:t>
      </w:r>
      <w:r w:rsidRPr="00021EF0">
        <w:rPr>
          <w:sz w:val="22"/>
          <w:szCs w:val="22"/>
        </w:rPr>
        <w:t>állománya 89.233.160,-Ft volt. Itt jelennek meg a szerződésben kikötött és befizetett óvadékok, teljesítési biztosítékok.</w:t>
      </w:r>
    </w:p>
    <w:p w:rsidR="001B1D7D" w:rsidRPr="00021EF0" w:rsidRDefault="001B1D7D" w:rsidP="001B1D7D">
      <w:pPr>
        <w:overflowPunct/>
        <w:autoSpaceDE/>
        <w:autoSpaceDN/>
        <w:adjustRightInd/>
        <w:spacing w:line="360" w:lineRule="auto"/>
        <w:jc w:val="both"/>
        <w:textAlignment w:val="auto"/>
        <w:rPr>
          <w:b/>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Eredményszemléletű bevételek passzív időbeli elhatárolása</w:t>
      </w:r>
      <w:r w:rsidRPr="00021EF0">
        <w:rPr>
          <w:sz w:val="22"/>
          <w:szCs w:val="22"/>
        </w:rPr>
        <w:t xml:space="preserve"> 2.250.248.244,-Ft. A számviteli előírások alapján el kell határolnunk azokat a bevételeket, melyek 2024. évben követelésként előírtunk, de 2025. évre vonatkoznak, illetve el kell határolnunk azokat a 2024. évben működési célra átvett pénzeszközöket, melyeket 2025. évben költünk el. Az eredményben 2024. évben nem mutathatjuk ki, abban az évben kell a bevételt eredményként kimutatni, amikor a bevételt elköltjük, vagyis költséget is tudunk vele szemben elszámolni. </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rPr>
        <w:t>Költségek, ráfordítások passzív időbeli elhatárolása</w:t>
      </w:r>
      <w:r w:rsidRPr="00021EF0">
        <w:rPr>
          <w:sz w:val="22"/>
          <w:szCs w:val="22"/>
        </w:rPr>
        <w:t xml:space="preserve"> 366.038.396,-Ft. A tárgyévet terhelő olyan költségek, ráfordítások, melyek csak a következő évben kerülnek kiszámlázásra, kifizetésre. Ilyen pl. a </w:t>
      </w:r>
      <w:r w:rsidRPr="00021EF0">
        <w:rPr>
          <w:sz w:val="22"/>
          <w:szCs w:val="22"/>
        </w:rPr>
        <w:lastRenderedPageBreak/>
        <w:t>decemberi bér és közterhek, melyet csak január hónapban fizetünk ki, a decemberi postai közreműködési díj, melyet csak január hónapban számláznak.</w:t>
      </w:r>
    </w:p>
    <w:p w:rsidR="001B1D7D" w:rsidRPr="00021EF0" w:rsidRDefault="001B1D7D" w:rsidP="001B1D7D">
      <w:pPr>
        <w:overflowPunct/>
        <w:autoSpaceDE/>
        <w:autoSpaceDN/>
        <w:adjustRightInd/>
        <w:spacing w:line="360" w:lineRule="auto"/>
        <w:jc w:val="both"/>
        <w:textAlignment w:val="auto"/>
        <w:rPr>
          <w:sz w:val="22"/>
          <w:szCs w:val="22"/>
          <w:shd w:val="clear" w:color="auto" w:fill="FFFFFF"/>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b/>
          <w:sz w:val="22"/>
          <w:szCs w:val="22"/>
          <w:shd w:val="clear" w:color="auto" w:fill="FFFFFF"/>
        </w:rPr>
        <w:t>Halasztott eredményszemléletű bevételek</w:t>
      </w:r>
      <w:r w:rsidRPr="00021EF0">
        <w:rPr>
          <w:sz w:val="22"/>
          <w:szCs w:val="22"/>
          <w:shd w:val="clear" w:color="auto" w:fill="FFFFFF"/>
        </w:rPr>
        <w:t xml:space="preserve"> 8.990.891.299,-Ft. </w:t>
      </w:r>
      <w:r w:rsidRPr="00021EF0">
        <w:rPr>
          <w:sz w:val="22"/>
          <w:szCs w:val="22"/>
        </w:rPr>
        <w:t>A mérlegben a halasztott eredményszemléletű bevételek között kell kimutatni a fejlesztési célra kapott felhalmozási célú támogatások összegét, a térítés nélkül átvett eszközök, továbbá az ajándékként, a hagyatékként kapott, a többletként fellelt eszközök értékét. A támogatásonként, a térítés nélkül átvett eszközönként kimutatott halasztott bevételt a fejlesztés során megvalósított eszközhöz, illetve a térítés nélkül átvett eszközhöz kapcsolódó felmerült költségek, ráfordítások elszámolásakor lehet megszüntetni olyan összegben, amilyen összegben a költség vagy ráfordítás felmerült (pl. értékcsökkenés elszámolása, az eszköz karbantartása stb.)  Meg kell szüntetni a fejlesztési támogatás miatt kimutatott halasztott bevételt a támogatás visszafizetésekor is. Önkormányzatunk az elmúlt években jelentős összegű fejlesztési célú támogatásban részesült, ezért a halasztott eredményszemléletű bevételek összege is magas.</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021EF0">
        <w:rPr>
          <w:b/>
          <w:sz w:val="24"/>
          <w:szCs w:val="24"/>
        </w:rPr>
        <w:t>MARADVÁNY</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Önkormányzati szinten 6.769.896.070,-Ft maradvány keletkezett. A maradvány összegét úgy kell kiszámolni, hogy a költségvetési bevételek és költségvetési kiadások különbözetéből meg kell állapítani a költségvetési maradványt, a finanszírozási bevételek és finanszírozási kiadások különbözetéből pedig a finanszírozási maradványt. A két maradvány együttes összege lesz az összes maradvány. 2024. évben városi szinten a költségvetési bevételek összege 12.858.040.132,-Ft, a költségvetési kiadások összege 14.008.799.267,-Ft volt, így a költségvetési maradvány összege -1.150.759.135,-Ft. A finanszírozási bevétel (intézményfinanszírozás nélkül) 8.040.785.915,-Ft, a finanszírozási kiadás (intézményfinanszírozás nélkül) 120.130.710,-Ft volt, így a finanszírozás egyenlege 7.920.655.205,-Ft lett.  </w:t>
      </w:r>
      <w:r w:rsidRPr="00021EF0">
        <w:rPr>
          <w:i/>
          <w:sz w:val="22"/>
          <w:szCs w:val="22"/>
        </w:rPr>
        <w:t>A költségvetési maradvány (-1.150.759.135,-Ft) és a finanszírozási maradvány (7.920.655.205,-Ft) együttes összege 6.769.896.070,-Ft.</w:t>
      </w:r>
      <w:r w:rsidRPr="00021EF0">
        <w:rPr>
          <w:sz w:val="22"/>
          <w:szCs w:val="22"/>
        </w:rPr>
        <w:t xml:space="preserve"> A maradvány összegéből az intézmények maradványa 105.127.404,-Ft. Az Önkormányzat maradványa 6.664.768.666,-Ft, ebből 6.000.000.000,-Ft-ot a 2025. évi eredeti költségvetésben már terveztünk.</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 maradvány alakulását gazdálkodónként a 12. sz. melléklet mutatja be.</w:t>
      </w:r>
    </w:p>
    <w:p w:rsidR="001B1D7D" w:rsidRPr="00021EF0" w:rsidRDefault="001B1D7D" w:rsidP="001B1D7D">
      <w:pPr>
        <w:overflowPunct/>
        <w:autoSpaceDE/>
        <w:autoSpaceDN/>
        <w:adjustRightInd/>
        <w:spacing w:line="360" w:lineRule="auto"/>
        <w:jc w:val="both"/>
        <w:textAlignment w:val="auto"/>
        <w:rPr>
          <w:sz w:val="24"/>
        </w:rPr>
      </w:pPr>
    </w:p>
    <w:p w:rsidR="001B1D7D" w:rsidRPr="00021EF0" w:rsidRDefault="001B1D7D" w:rsidP="001B1D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021EF0">
        <w:rPr>
          <w:b/>
          <w:sz w:val="24"/>
          <w:szCs w:val="24"/>
        </w:rPr>
        <w:t>LÉTSZÁM</w:t>
      </w:r>
    </w:p>
    <w:p w:rsidR="001B1D7D" w:rsidRPr="00021EF0" w:rsidRDefault="001B1D7D" w:rsidP="001B1D7D">
      <w:pPr>
        <w:overflowPunct/>
        <w:autoSpaceDE/>
        <w:autoSpaceDN/>
        <w:adjustRightInd/>
        <w:spacing w:line="360" w:lineRule="auto"/>
        <w:jc w:val="both"/>
        <w:textAlignment w:val="auto"/>
        <w:rPr>
          <w:sz w:val="24"/>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lastRenderedPageBreak/>
        <w:t>2024. évi eredeti költségvetésben az engedélyezett álláshelyek száma 407,5 fő volt.  Év közben  az Önkormányzat engedélyezett álláshelyeinek száma 1 fővel csökkent a Polgármesteri Hivatal engedélyezett álláshelyeinek száma 1 fővel nőtt (mezőőr). A Dunakeszi Óvodai és Humán Szolgáltató Központ és Könyvtár engedélyezett álláshelye 7 fővel csökkent.  2024. évben a járóbeteg szakellátás feladataira költségvetési intézményt kellett alapítani. Az új intézményként létrejött Dunakeszi Város Önkormányzatának Szakorvosi Rendelőintézete engedélyezett álláshelye 131 fő lett. Ezekkel a változásokkal év végén az engedélyezett álláshelyek száma 531,5 fő volt.</w:t>
      </w: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Az Önkormányzatnál és a költségvetési szerveknél foglalkoztatottak létszámát gazdálkodó szervenként a 11. sz. melléklet mutatja be.</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overflowPunct/>
        <w:autoSpaceDE/>
        <w:autoSpaceDN/>
        <w:adjustRightInd/>
        <w:spacing w:line="360" w:lineRule="auto"/>
        <w:jc w:val="both"/>
        <w:textAlignment w:val="auto"/>
        <w:rPr>
          <w:sz w:val="22"/>
          <w:szCs w:val="22"/>
        </w:rPr>
      </w:pPr>
      <w:r w:rsidRPr="00021EF0">
        <w:rPr>
          <w:sz w:val="22"/>
          <w:szCs w:val="22"/>
        </w:rPr>
        <w:t xml:space="preserve">A zárszámadás mellékletét képezi az </w:t>
      </w:r>
      <w:r w:rsidRPr="00021EF0">
        <w:rPr>
          <w:b/>
          <w:sz w:val="22"/>
          <w:szCs w:val="22"/>
        </w:rPr>
        <w:t>előirányzat felhasználási ütemterv</w:t>
      </w:r>
      <w:r w:rsidRPr="00021EF0">
        <w:rPr>
          <w:sz w:val="22"/>
          <w:szCs w:val="22"/>
        </w:rPr>
        <w:t xml:space="preserve"> alakulását bemutató 14. sz. melléklet. A melléklet a 2024. évben teljesített kiadásokat és bevételeket mutatja be havi bontásban.</w:t>
      </w:r>
    </w:p>
    <w:p w:rsidR="001B1D7D" w:rsidRPr="00021EF0" w:rsidRDefault="001B1D7D" w:rsidP="001B1D7D">
      <w:pPr>
        <w:overflowPunct/>
        <w:autoSpaceDE/>
        <w:autoSpaceDN/>
        <w:adjustRightInd/>
        <w:spacing w:line="360" w:lineRule="auto"/>
        <w:jc w:val="both"/>
        <w:textAlignment w:val="auto"/>
        <w:rPr>
          <w:sz w:val="22"/>
          <w:szCs w:val="22"/>
        </w:rPr>
      </w:pPr>
    </w:p>
    <w:p w:rsidR="001B1D7D" w:rsidRPr="00021EF0" w:rsidRDefault="001B1D7D" w:rsidP="001B1D7D">
      <w:pPr>
        <w:jc w:val="both"/>
        <w:rPr>
          <w:sz w:val="22"/>
          <w:szCs w:val="22"/>
        </w:rPr>
      </w:pPr>
    </w:p>
    <w:p w:rsidR="001B1D7D" w:rsidRPr="00021EF0" w:rsidRDefault="001B1D7D" w:rsidP="001B1D7D">
      <w:pPr>
        <w:jc w:val="both"/>
        <w:rPr>
          <w:sz w:val="22"/>
          <w:szCs w:val="22"/>
        </w:rPr>
      </w:pPr>
      <w:r w:rsidRPr="00021EF0">
        <w:rPr>
          <w:sz w:val="22"/>
          <w:szCs w:val="22"/>
        </w:rPr>
        <w:t>Dunakeszi, 2025. május 20.</w:t>
      </w:r>
    </w:p>
    <w:p w:rsidR="001B1D7D" w:rsidRPr="00021EF0" w:rsidRDefault="001B1D7D" w:rsidP="001B1D7D">
      <w:pPr>
        <w:jc w:val="both"/>
        <w:rPr>
          <w:sz w:val="22"/>
          <w:szCs w:val="22"/>
        </w:rPr>
      </w:pPr>
    </w:p>
    <w:p w:rsidR="001B1D7D" w:rsidRPr="00021EF0" w:rsidRDefault="001B1D7D" w:rsidP="001B1D7D">
      <w:pPr>
        <w:tabs>
          <w:tab w:val="center" w:pos="6379"/>
        </w:tabs>
        <w:jc w:val="both"/>
        <w:rPr>
          <w:sz w:val="22"/>
          <w:szCs w:val="22"/>
        </w:rPr>
      </w:pPr>
      <w:r w:rsidRPr="00021EF0">
        <w:rPr>
          <w:sz w:val="22"/>
          <w:szCs w:val="22"/>
        </w:rPr>
        <w:tab/>
        <w:t>Dióssi Csaba sk.</w:t>
      </w:r>
    </w:p>
    <w:p w:rsidR="001B1D7D" w:rsidRPr="003A48B1" w:rsidRDefault="001B1D7D" w:rsidP="001B1D7D">
      <w:pPr>
        <w:tabs>
          <w:tab w:val="center" w:pos="6379"/>
        </w:tabs>
        <w:jc w:val="both"/>
        <w:rPr>
          <w:sz w:val="22"/>
          <w:szCs w:val="22"/>
        </w:rPr>
      </w:pPr>
      <w:r w:rsidRPr="00021EF0">
        <w:rPr>
          <w:sz w:val="22"/>
          <w:szCs w:val="22"/>
        </w:rPr>
        <w:tab/>
        <w:t>polgármester</w:t>
      </w:r>
      <w:r w:rsidRPr="003A48B1">
        <w:rPr>
          <w:sz w:val="22"/>
          <w:szCs w:val="22"/>
        </w:rPr>
        <w:t xml:space="preserve"> </w:t>
      </w:r>
    </w:p>
    <w:p w:rsidR="006D3EA5" w:rsidRDefault="001B1D7D">
      <w:bookmarkStart w:id="1" w:name="_GoBack"/>
      <w:bookmarkEnd w:id="1"/>
    </w:p>
    <w:sectPr w:rsidR="006D3EA5">
      <w:footerReference w:type="default" r:id="rId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0F9" w:rsidRDefault="001B1D7D">
    <w:pPr>
      <w:pStyle w:val="llb"/>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noProof/>
        <w:color w:val="5B9BD5" w:themeColor="accent1"/>
      </w:rPr>
      <w:t>23</w:t>
    </w:r>
    <w:r>
      <w:rPr>
        <w:caps/>
        <w:color w:val="5B9BD5" w:themeColor="accent1"/>
      </w:rPr>
      <w:fldChar w:fldCharType="end"/>
    </w:r>
  </w:p>
  <w:p w:rsidR="008600F9" w:rsidRDefault="001B1D7D">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107"/>
    <w:multiLevelType w:val="hybridMultilevel"/>
    <w:tmpl w:val="E9DC2CB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9CB6114"/>
    <w:multiLevelType w:val="hybridMultilevel"/>
    <w:tmpl w:val="D7E029FA"/>
    <w:lvl w:ilvl="0" w:tplc="81EEF0A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7AD"/>
    <w:rsid w:val="00046F8B"/>
    <w:rsid w:val="001B1D7D"/>
    <w:rsid w:val="004847AD"/>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B2CCE"/>
  <w15:chartTrackingRefBased/>
  <w15:docId w15:val="{7538CEBA-AE59-4EDC-93A5-F64B3542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B1D7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B1D7D"/>
    <w:pPr>
      <w:ind w:left="720"/>
      <w:contextualSpacing/>
    </w:pPr>
  </w:style>
  <w:style w:type="paragraph" w:styleId="lfej">
    <w:name w:val="header"/>
    <w:basedOn w:val="Norml"/>
    <w:link w:val="lfejChar"/>
    <w:uiPriority w:val="99"/>
    <w:unhideWhenUsed/>
    <w:rsid w:val="001B1D7D"/>
    <w:pPr>
      <w:tabs>
        <w:tab w:val="center" w:pos="4536"/>
        <w:tab w:val="right" w:pos="9072"/>
      </w:tabs>
    </w:pPr>
  </w:style>
  <w:style w:type="character" w:customStyle="1" w:styleId="lfejChar">
    <w:name w:val="Élőfej Char"/>
    <w:basedOn w:val="Bekezdsalapbettpusa"/>
    <w:link w:val="lfej"/>
    <w:uiPriority w:val="99"/>
    <w:rsid w:val="001B1D7D"/>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1B1D7D"/>
    <w:pPr>
      <w:tabs>
        <w:tab w:val="center" w:pos="4536"/>
        <w:tab w:val="right" w:pos="9072"/>
      </w:tabs>
    </w:pPr>
  </w:style>
  <w:style w:type="character" w:customStyle="1" w:styleId="llbChar">
    <w:name w:val="Élőláb Char"/>
    <w:basedOn w:val="Bekezdsalapbettpusa"/>
    <w:link w:val="llb"/>
    <w:uiPriority w:val="99"/>
    <w:rsid w:val="001B1D7D"/>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1B1D7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B1D7D"/>
    <w:rPr>
      <w:rFonts w:ascii="Segoe UI" w:eastAsia="Times New Roman" w:hAnsi="Segoe UI" w:cs="Segoe UI"/>
      <w:sz w:val="18"/>
      <w:szCs w:val="18"/>
      <w:lang w:eastAsia="hu-HU"/>
    </w:rPr>
  </w:style>
  <w:style w:type="paragraph" w:styleId="NormlWeb">
    <w:name w:val="Normal (Web)"/>
    <w:basedOn w:val="Norml"/>
    <w:uiPriority w:val="99"/>
    <w:rsid w:val="001B1D7D"/>
    <w:pPr>
      <w:overflowPunct/>
      <w:autoSpaceDE/>
      <w:autoSpaceDN/>
      <w:adjustRightInd/>
      <w:spacing w:after="240"/>
      <w:textAlignment w:val="auto"/>
    </w:pPr>
    <w:rPr>
      <w:sz w:val="24"/>
      <w:szCs w:val="24"/>
    </w:rPr>
  </w:style>
  <w:style w:type="table" w:styleId="Rcsostblzat">
    <w:name w:val="Table Grid"/>
    <w:basedOn w:val="Normltblzat"/>
    <w:uiPriority w:val="39"/>
    <w:rsid w:val="001B1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jt.hu/jogszabaly/1990-100-00-00" TargetMode="External"/><Relationship Id="rId3" Type="http://schemas.openxmlformats.org/officeDocument/2006/relationships/settings" Target="settings.xml"/><Relationship Id="rId7" Type="http://schemas.openxmlformats.org/officeDocument/2006/relationships/hyperlink" Target="https://njt.hu/jogszabaly/1990-100-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jt.hu/jogszabaly/2021-90-00-00" TargetMode="External"/><Relationship Id="rId11" Type="http://schemas.openxmlformats.org/officeDocument/2006/relationships/fontTable" Target="fontTable.xml"/><Relationship Id="rId5" Type="http://schemas.openxmlformats.org/officeDocument/2006/relationships/hyperlink" Target="https://njt.hu/jogszabaly/2011-195-00-00"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jt.hu/jogszabaly/1990-100-00-00"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7885</Words>
  <Characters>54409</Characters>
  <Application>Microsoft Office Word</Application>
  <DocSecurity>0</DocSecurity>
  <Lines>453</Lines>
  <Paragraphs>124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2025-05-22T13:19:00Z</dcterms:created>
  <dcterms:modified xsi:type="dcterms:W3CDTF">2025-05-22T13:19:00Z</dcterms:modified>
</cp:coreProperties>
</file>