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E8B" w:rsidRDefault="00EC5E8B" w:rsidP="00EC5E8B">
      <w:pPr>
        <w:pStyle w:val="Szvegtrzs"/>
        <w:spacing w:before="240" w:after="480" w:line="240" w:lineRule="auto"/>
        <w:jc w:val="center"/>
        <w:rPr>
          <w:rFonts w:ascii="Times New Roman" w:hAnsi="Times New Roman"/>
          <w:b/>
          <w:bCs/>
        </w:rPr>
      </w:pPr>
      <w:r>
        <w:rPr>
          <w:noProof/>
          <w:lang w:eastAsia="hu-HU" w:bidi="ar-SA"/>
        </w:rPr>
        <w:drawing>
          <wp:anchor distT="0" distB="0" distL="114300" distR="114300" simplePos="0" relativeHeight="251659264" behindDoc="0" locked="0" layoutInCell="0" allowOverlap="1" wp14:anchorId="2D1C3E03" wp14:editId="2F83D374">
            <wp:simplePos x="0" y="0"/>
            <wp:positionH relativeFrom="page">
              <wp:posOffset>734695</wp:posOffset>
            </wp:positionH>
            <wp:positionV relativeFrom="page">
              <wp:posOffset>226695</wp:posOffset>
            </wp:positionV>
            <wp:extent cx="1649730" cy="617220"/>
            <wp:effectExtent l="0" t="0" r="0" b="0"/>
            <wp:wrapNone/>
            <wp:docPr id="1" name="Image2" descr="Integrált Jogalkotási Rends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Integrált Jogalkotási Rendszer"/>
                    <pic:cNvPicPr>
                      <a:picLocks noChangeAspect="1" noChangeArrowheads="1"/>
                    </pic:cNvPicPr>
                  </pic:nvPicPr>
                  <pic:blipFill>
                    <a:blip r:embed="rId4"/>
                    <a:srcRect l="-413" t="-1102" r="-413" b="-1102"/>
                    <a:stretch>
                      <a:fillRect/>
                    </a:stretch>
                  </pic:blipFill>
                  <pic:spPr bwMode="auto">
                    <a:xfrm>
                      <a:off x="0" y="0"/>
                      <a:ext cx="1649730" cy="617220"/>
                    </a:xfrm>
                    <a:prstGeom prst="rect">
                      <a:avLst/>
                    </a:prstGeom>
                  </pic:spPr>
                </pic:pic>
              </a:graphicData>
            </a:graphic>
          </wp:anchor>
        </w:drawing>
      </w:r>
      <w:r>
        <w:rPr>
          <w:rFonts w:ascii="Times New Roman" w:hAnsi="Times New Roman"/>
          <w:b/>
          <w:bCs/>
        </w:rPr>
        <w:t xml:space="preserve">Dunakeszi Város Önkormányzata </w:t>
      </w:r>
      <w:proofErr w:type="gramStart"/>
      <w:r>
        <w:rPr>
          <w:rFonts w:ascii="Times New Roman" w:hAnsi="Times New Roman"/>
          <w:b/>
          <w:bCs/>
        </w:rPr>
        <w:t>Képviselő-testületének ..</w:t>
      </w:r>
      <w:proofErr w:type="gramEnd"/>
      <w:r>
        <w:rPr>
          <w:rFonts w:ascii="Times New Roman" w:hAnsi="Times New Roman"/>
          <w:b/>
          <w:bCs/>
        </w:rPr>
        <w:t>./.... (.</w:t>
      </w:r>
      <w:proofErr w:type="gramStart"/>
      <w:r>
        <w:rPr>
          <w:rFonts w:ascii="Times New Roman" w:hAnsi="Times New Roman"/>
          <w:b/>
          <w:bCs/>
        </w:rPr>
        <w:t>..</w:t>
      </w:r>
      <w:proofErr w:type="gramEnd"/>
      <w:r>
        <w:rPr>
          <w:rFonts w:ascii="Times New Roman" w:hAnsi="Times New Roman"/>
          <w:b/>
          <w:bCs/>
        </w:rPr>
        <w:t>) önkormányzati rendelete</w:t>
      </w:r>
    </w:p>
    <w:p w:rsidR="00EC5E8B" w:rsidRDefault="00EC5E8B" w:rsidP="00EC5E8B">
      <w:pPr>
        <w:pStyle w:val="Szvegtrzs"/>
        <w:spacing w:before="240" w:after="480" w:line="240" w:lineRule="auto"/>
        <w:jc w:val="center"/>
        <w:rPr>
          <w:rFonts w:ascii="Times New Roman" w:hAnsi="Times New Roman"/>
          <w:b/>
          <w:bCs/>
        </w:rPr>
      </w:pPr>
      <w:r>
        <w:rPr>
          <w:rFonts w:ascii="Times New Roman" w:hAnsi="Times New Roman"/>
          <w:b/>
          <w:bCs/>
        </w:rPr>
        <w:t>Dunakeszi Város Helyi Építési Szabályzatáról szóló 6/2018.(II. 31.) önkormányzati rendelet módosításáról</w:t>
      </w:r>
    </w:p>
    <w:p w:rsidR="00EC5E8B" w:rsidRDefault="00EC5E8B" w:rsidP="00EC5E8B">
      <w:pPr>
        <w:pStyle w:val="Szvegtrzs"/>
        <w:spacing w:after="0" w:line="240" w:lineRule="auto"/>
        <w:jc w:val="both"/>
        <w:rPr>
          <w:rFonts w:ascii="Times New Roman" w:hAnsi="Times New Roman"/>
        </w:rPr>
      </w:pPr>
      <w:r>
        <w:rPr>
          <w:rFonts w:ascii="Times New Roman" w:hAnsi="Times New Roman"/>
        </w:rPr>
        <w:t xml:space="preserve">[1] Jelen rendelet célja a Dunakeszi, Eper utca 6052 és 6053 </w:t>
      </w:r>
      <w:proofErr w:type="spellStart"/>
      <w:r>
        <w:rPr>
          <w:rFonts w:ascii="Times New Roman" w:hAnsi="Times New Roman"/>
        </w:rPr>
        <w:t>hrsz</w:t>
      </w:r>
      <w:proofErr w:type="spellEnd"/>
      <w:r>
        <w:rPr>
          <w:rFonts w:ascii="Times New Roman" w:hAnsi="Times New Roman"/>
        </w:rPr>
        <w:t xml:space="preserve"> telkek </w:t>
      </w:r>
      <w:proofErr w:type="spellStart"/>
      <w:r>
        <w:rPr>
          <w:rFonts w:ascii="Times New Roman" w:hAnsi="Times New Roman"/>
        </w:rPr>
        <w:t>összevonhatóságának</w:t>
      </w:r>
      <w:proofErr w:type="spellEnd"/>
      <w:r>
        <w:rPr>
          <w:rFonts w:ascii="Times New Roman" w:hAnsi="Times New Roman"/>
        </w:rPr>
        <w:t xml:space="preserve"> jogszabályi megalapozása.</w:t>
      </w:r>
    </w:p>
    <w:p w:rsidR="00EC5E8B" w:rsidRDefault="00EC5E8B" w:rsidP="00EC5E8B">
      <w:pPr>
        <w:pStyle w:val="Szvegtrzs"/>
        <w:spacing w:before="120" w:after="0" w:line="240" w:lineRule="auto"/>
        <w:jc w:val="both"/>
        <w:rPr>
          <w:rFonts w:ascii="Times New Roman" w:hAnsi="Times New Roman"/>
        </w:rPr>
      </w:pPr>
      <w:r>
        <w:rPr>
          <w:rFonts w:ascii="Times New Roman" w:hAnsi="Times New Roman"/>
        </w:rPr>
        <w:t xml:space="preserve">[2] Dunakeszi Város Önkormányzat Képviselő-testülete az Alaptörvénye 32. cikk (1) bekezdés a) pontjában, a magyar építészetről szóló 2023. évi C. törvény 22. § (2) bekezdés a) pontjában kapott felhatalmazás </w:t>
      </w:r>
      <w:proofErr w:type="spellStart"/>
      <w:r>
        <w:rPr>
          <w:rFonts w:ascii="Times New Roman" w:hAnsi="Times New Roman"/>
        </w:rPr>
        <w:t>alapján</w:t>
      </w:r>
      <w:proofErr w:type="gramStart"/>
      <w:r>
        <w:rPr>
          <w:rFonts w:ascii="Times New Roman" w:hAnsi="Times New Roman"/>
        </w:rPr>
        <w:t>,Magyarország</w:t>
      </w:r>
      <w:proofErr w:type="spellEnd"/>
      <w:proofErr w:type="gramEnd"/>
      <w:r>
        <w:rPr>
          <w:rFonts w:ascii="Times New Roman" w:hAnsi="Times New Roman"/>
        </w:rPr>
        <w:t xml:space="preserve"> helyi önkormányzatairól szóló 2011. évi CLXXXIX. törvény 23. § (5) bekezdés 5. és 6. pontjában, és a magyar építészetről szóló 2023. évi C. törvény 225. § (8) bekezdés 1. pontjában meghatározott feladatkörében eljárva, a településtervek tartalmáról, elkészítésének és elfogadásának rendjéről, valamint egyes településrendezési sajátos jogintézményekről szóló 419/2021. (VII. 15.) Korm. rendelet 62. </w:t>
      </w:r>
      <w:proofErr w:type="gramStart"/>
      <w:r>
        <w:rPr>
          <w:rFonts w:ascii="Times New Roman" w:hAnsi="Times New Roman"/>
        </w:rPr>
        <w:t xml:space="preserve">§ (1) bekezdésében biztosított véleményezési jogkörében eljáró Pest Vármegyei Kormányhivatal Érdi Járási Hivatal Környezetvédelmi, Természetvédelmi és Hulladékgazdálkodási Főosztály, Duna-Ipoly Nemzeti Park Igazgatóság, Budapest Főváros Kormányhivatala Népegészségügyi Főosztály, Fővárosi Katasztrófavédelmi Igazgatóság, Budapest Főváros Kormányhivatala Állami Főépítész, Pest Vármegyei Kormányhivatal Földművelésügyi és Erdőgazdálkodási Főosztály, Pest Vármegyei Kormányhivatal Élelmiszerlánc-biztonsági, Állategészségügyi, Növény- és Talajvédelmi Főosztály </w:t>
      </w:r>
      <w:proofErr w:type="spellStart"/>
      <w:r>
        <w:rPr>
          <w:rFonts w:ascii="Times New Roman" w:hAnsi="Times New Roman"/>
        </w:rPr>
        <w:t>Növényés</w:t>
      </w:r>
      <w:proofErr w:type="spellEnd"/>
      <w:r>
        <w:rPr>
          <w:rFonts w:ascii="Times New Roman" w:hAnsi="Times New Roman"/>
        </w:rPr>
        <w:t xml:space="preserve"> Talajvédelmi Osztálya, Budapest</w:t>
      </w:r>
      <w:proofErr w:type="gramEnd"/>
      <w:r>
        <w:rPr>
          <w:rFonts w:ascii="Times New Roman" w:hAnsi="Times New Roman"/>
        </w:rPr>
        <w:t xml:space="preserve"> </w:t>
      </w:r>
      <w:proofErr w:type="gramStart"/>
      <w:r>
        <w:rPr>
          <w:rFonts w:ascii="Times New Roman" w:hAnsi="Times New Roman"/>
        </w:rPr>
        <w:t>Főváros Kormányhivatala Földhivatali Főosztály Földügyi Osztály, Budapest Főváros Kormányhivatala Építésügyi és Örökségvédelmi Főosztály, Országos Vízügyi Főigazgatóság, Közép-Duna-Völgyi Vízügyi Igazgatóság, Építési és Közlekedési Minisztérium Közlekedésért Felelős Államtitkárság, Építési és Közlekedési Minisztérium, Légügyi Felügyeleti Hatósági Főosztály, Budapest Főváros Kormányhivatala Országos Közúti és Hajózási Hatósági Főosztály, Budapest Főváros Kormányhivatala Fővárosi Közlekedésfelügyeleti Főosztály, Honvédelmi Minisztérium Állami Légügyi Főosztály, Budapesti Rendőr-főkapitányság, Honvédelmi</w:t>
      </w:r>
      <w:proofErr w:type="gramEnd"/>
      <w:r>
        <w:rPr>
          <w:rFonts w:ascii="Times New Roman" w:hAnsi="Times New Roman"/>
        </w:rPr>
        <w:t xml:space="preserve"> Minisztérium Hatósági Főosztály, Nemzeti Média- és Hírközlési Hatóság, Országos Atomenergia Hivatal, Nemzeti Földügyi Központ, Szabályozott Tevékenységek Felügyeleti Hatósága Bányászati és Gázipari Főosztály Budapesti Bányafelügyeleti Osztály, Fót Város Önkormányzata, Göd Város Önkormányzata, Szigetmonostor Község, Budapest Főváros IV. kerület Újpest Önkormányzata, Pest Vármegye Önkormányzata, továbbá a partnerek véleményének kikérésével a következőket rendeli el:</w:t>
      </w:r>
    </w:p>
    <w:p w:rsidR="00EC5E8B" w:rsidRDefault="00EC5E8B" w:rsidP="00EC5E8B">
      <w:pPr>
        <w:pStyle w:val="Szvegtrzs"/>
        <w:spacing w:before="240" w:after="240" w:line="240" w:lineRule="auto"/>
        <w:jc w:val="center"/>
        <w:rPr>
          <w:rFonts w:ascii="Times New Roman" w:hAnsi="Times New Roman"/>
          <w:b/>
          <w:bCs/>
        </w:rPr>
      </w:pPr>
      <w:r>
        <w:rPr>
          <w:rFonts w:ascii="Times New Roman" w:hAnsi="Times New Roman"/>
          <w:b/>
          <w:bCs/>
        </w:rPr>
        <w:t>1. §</w:t>
      </w:r>
    </w:p>
    <w:p w:rsidR="00EC5E8B" w:rsidRDefault="00EC5E8B" w:rsidP="00EC5E8B">
      <w:pPr>
        <w:pStyle w:val="Szvegtrzs"/>
        <w:spacing w:after="0" w:line="240" w:lineRule="auto"/>
        <w:jc w:val="both"/>
        <w:rPr>
          <w:rFonts w:ascii="Times New Roman" w:hAnsi="Times New Roman"/>
        </w:rPr>
      </w:pPr>
      <w:r>
        <w:rPr>
          <w:rFonts w:ascii="Times New Roman" w:hAnsi="Times New Roman"/>
        </w:rPr>
        <w:t>(1) A Dunakeszi Város Helyi Építési Szabályzatáról szóló 6/2018 (V.31.) önkormányzati rendelet 1. melléklete helyébe a 2. melléklet lép.</w:t>
      </w:r>
    </w:p>
    <w:p w:rsidR="00EC5E8B" w:rsidRDefault="00EC5E8B" w:rsidP="00EC5E8B">
      <w:pPr>
        <w:pStyle w:val="Szvegtrzs"/>
        <w:spacing w:before="240" w:after="0" w:line="240" w:lineRule="auto"/>
        <w:jc w:val="both"/>
        <w:rPr>
          <w:rFonts w:ascii="Times New Roman" w:hAnsi="Times New Roman"/>
        </w:rPr>
      </w:pPr>
      <w:r>
        <w:rPr>
          <w:rFonts w:ascii="Times New Roman" w:hAnsi="Times New Roman"/>
        </w:rPr>
        <w:t>(2) A Dunakeszi Város Helyi Építési Szabályzatáról szóló 6/2018 (V.31.) önkormányzati rendelet 2. melléklete az 1. melléklet szerint módosul.</w:t>
      </w:r>
    </w:p>
    <w:p w:rsidR="00EC5E8B" w:rsidRDefault="00EC5E8B" w:rsidP="00EC5E8B">
      <w:pPr>
        <w:pStyle w:val="Szvegtrzs"/>
        <w:spacing w:before="240" w:after="240" w:line="240" w:lineRule="auto"/>
        <w:jc w:val="center"/>
        <w:rPr>
          <w:rFonts w:ascii="Times New Roman" w:hAnsi="Times New Roman"/>
          <w:b/>
          <w:bCs/>
        </w:rPr>
      </w:pPr>
      <w:r>
        <w:rPr>
          <w:rFonts w:ascii="Times New Roman" w:hAnsi="Times New Roman"/>
          <w:b/>
          <w:bCs/>
        </w:rPr>
        <w:t>2. §</w:t>
      </w:r>
    </w:p>
    <w:p w:rsidR="00EC5E8B" w:rsidRDefault="00EC5E8B" w:rsidP="00EC5E8B">
      <w:pPr>
        <w:pStyle w:val="Szvegtrzs"/>
        <w:spacing w:after="0" w:line="240" w:lineRule="auto"/>
        <w:jc w:val="both"/>
        <w:rPr>
          <w:rFonts w:ascii="Times New Roman" w:hAnsi="Times New Roman"/>
        </w:rPr>
        <w:sectPr w:rsidR="00EC5E8B">
          <w:headerReference w:type="even" r:id="rId5"/>
          <w:headerReference w:type="default" r:id="rId6"/>
          <w:footerReference w:type="even" r:id="rId7"/>
          <w:footerReference w:type="default" r:id="rId8"/>
          <w:headerReference w:type="first" r:id="rId9"/>
          <w:footerReference w:type="first" r:id="rId10"/>
          <w:pgSz w:w="11906" w:h="16668"/>
          <w:pgMar w:top="1473" w:right="1077" w:bottom="1474" w:left="1077" w:header="340" w:footer="794" w:gutter="0"/>
          <w:cols w:space="708"/>
          <w:formProt w:val="0"/>
          <w:titlePg/>
          <w:docGrid w:linePitch="600" w:charSpace="32768"/>
        </w:sectPr>
      </w:pPr>
      <w:r>
        <w:rPr>
          <w:rFonts w:ascii="Times New Roman" w:hAnsi="Times New Roman"/>
        </w:rPr>
        <w:t>Ez a rendelet a kihirdetését követő 15. napon lép hatályba, és a kihirdetését követő 16. napon hatályát veszti.</w:t>
      </w:r>
    </w:p>
    <w:p w:rsidR="00EC5E8B" w:rsidRDefault="00EC5E8B" w:rsidP="00EC5E8B">
      <w:pPr>
        <w:jc w:val="both"/>
        <w:rPr>
          <w:rFonts w:ascii="Times New Roman" w:hAnsi="Times New Roman"/>
        </w:rPr>
      </w:pPr>
      <w:r>
        <w:rPr>
          <w:rFonts w:ascii="Times New Roman" w:hAnsi="Times New Roman"/>
        </w:rPr>
        <w:lastRenderedPageBreak/>
        <w:t> </w:t>
      </w:r>
    </w:p>
    <w:p w:rsidR="00EC5E8B" w:rsidRDefault="00EC5E8B" w:rsidP="00EC5E8B">
      <w:pPr>
        <w:pStyle w:val="Szvegtrzs"/>
        <w:spacing w:line="240" w:lineRule="auto"/>
        <w:jc w:val="right"/>
        <w:rPr>
          <w:rFonts w:ascii="Times New Roman" w:hAnsi="Times New Roman"/>
          <w:i/>
          <w:iCs/>
          <w:u w:val="single"/>
        </w:rPr>
      </w:pPr>
      <w:r>
        <w:rPr>
          <w:rFonts w:ascii="Times New Roman" w:hAnsi="Times New Roman"/>
          <w:i/>
          <w:iCs/>
          <w:u w:val="single"/>
        </w:rPr>
        <w:t xml:space="preserve">1. melléklet </w:t>
      </w:r>
      <w:proofErr w:type="gramStart"/>
      <w:r>
        <w:rPr>
          <w:rFonts w:ascii="Times New Roman" w:hAnsi="Times New Roman"/>
          <w:i/>
          <w:iCs/>
          <w:u w:val="single"/>
        </w:rPr>
        <w:t>az ..</w:t>
      </w:r>
      <w:proofErr w:type="gramEnd"/>
      <w:r>
        <w:rPr>
          <w:rFonts w:ascii="Times New Roman" w:hAnsi="Times New Roman"/>
          <w:i/>
          <w:iCs/>
          <w:u w:val="single"/>
        </w:rPr>
        <w:t>./... . (.</w:t>
      </w:r>
      <w:proofErr w:type="gramStart"/>
      <w:r>
        <w:rPr>
          <w:rFonts w:ascii="Times New Roman" w:hAnsi="Times New Roman"/>
          <w:i/>
          <w:iCs/>
          <w:u w:val="single"/>
        </w:rPr>
        <w:t>..</w:t>
      </w:r>
      <w:proofErr w:type="gramEnd"/>
      <w:r>
        <w:rPr>
          <w:rFonts w:ascii="Times New Roman" w:hAnsi="Times New Roman"/>
          <w:i/>
          <w:iCs/>
          <w:u w:val="single"/>
        </w:rPr>
        <w:t xml:space="preserve"> </w:t>
      </w:r>
      <w:proofErr w:type="gramStart"/>
      <w:r>
        <w:rPr>
          <w:rFonts w:ascii="Times New Roman" w:hAnsi="Times New Roman"/>
          <w:i/>
          <w:iCs/>
          <w:u w:val="single"/>
        </w:rPr>
        <w:t>. ..</w:t>
      </w:r>
      <w:proofErr w:type="gramEnd"/>
      <w:r>
        <w:rPr>
          <w:rFonts w:ascii="Times New Roman" w:hAnsi="Times New Roman"/>
          <w:i/>
          <w:iCs/>
          <w:u w:val="single"/>
        </w:rPr>
        <w:t xml:space="preserve">. </w:t>
      </w:r>
      <w:proofErr w:type="gramStart"/>
      <w:r>
        <w:rPr>
          <w:rFonts w:ascii="Times New Roman" w:hAnsi="Times New Roman"/>
          <w:i/>
          <w:iCs/>
          <w:u w:val="single"/>
        </w:rPr>
        <w:t>.</w:t>
      </w:r>
      <w:proofErr w:type="gramEnd"/>
      <w:r>
        <w:rPr>
          <w:rFonts w:ascii="Times New Roman" w:hAnsi="Times New Roman"/>
          <w:i/>
          <w:iCs/>
          <w:u w:val="single"/>
        </w:rPr>
        <w:t>) önkormányzati rendelethez</w:t>
      </w:r>
    </w:p>
    <w:p w:rsidR="00EC5E8B" w:rsidRDefault="00EC5E8B" w:rsidP="00EC5E8B">
      <w:pPr>
        <w:pStyle w:val="Szvegtrzs"/>
        <w:spacing w:before="220" w:after="0" w:line="240" w:lineRule="auto"/>
        <w:jc w:val="both"/>
        <w:rPr>
          <w:rFonts w:ascii="Times New Roman" w:hAnsi="Times New Roman"/>
        </w:rPr>
      </w:pPr>
      <w:r>
        <w:rPr>
          <w:rFonts w:ascii="Times New Roman" w:hAnsi="Times New Roman"/>
        </w:rPr>
        <w:t>1. A Dunakeszi Város Helyi Építési Szabályzatáról szóló 6/2018 (V.31.) önkormányzati rendelet 2. melléklet 3. pontjában foglalt táblázat 26. és 27. sor helyébe a következő rendelkezések lépnek:</w:t>
      </w:r>
    </w:p>
    <w:p w:rsidR="00EC5E8B" w:rsidRDefault="00EC5E8B" w:rsidP="00EC5E8B">
      <w:pPr>
        <w:jc w:val="both"/>
        <w:rPr>
          <w:rFonts w:ascii="Times New Roman" w:hAnsi="Times New Roman"/>
        </w:rPr>
      </w:pPr>
      <w:r>
        <w:rPr>
          <w:rFonts w:ascii="Times New Roman" w:hAnsi="Times New Roman"/>
        </w:rPr>
        <w:t>„</w:t>
      </w:r>
    </w:p>
    <w:tbl>
      <w:tblPr>
        <w:tblW w:w="9752" w:type="dxa"/>
        <w:tblInd w:w="-7" w:type="dxa"/>
        <w:tblLayout w:type="fixed"/>
        <w:tblCellMar>
          <w:top w:w="28" w:type="dxa"/>
          <w:left w:w="28" w:type="dxa"/>
          <w:bottom w:w="28" w:type="dxa"/>
          <w:right w:w="28" w:type="dxa"/>
        </w:tblCellMar>
        <w:tblLook w:val="0000" w:firstRow="0" w:lastRow="0" w:firstColumn="0" w:lastColumn="0" w:noHBand="0" w:noVBand="0"/>
      </w:tblPr>
      <w:tblGrid>
        <w:gridCol w:w="97"/>
        <w:gridCol w:w="388"/>
        <w:gridCol w:w="580"/>
        <w:gridCol w:w="580"/>
        <w:gridCol w:w="387"/>
        <w:gridCol w:w="388"/>
        <w:gridCol w:w="677"/>
        <w:gridCol w:w="677"/>
        <w:gridCol w:w="677"/>
        <w:gridCol w:w="678"/>
        <w:gridCol w:w="387"/>
        <w:gridCol w:w="775"/>
        <w:gridCol w:w="387"/>
        <w:gridCol w:w="677"/>
        <w:gridCol w:w="677"/>
        <w:gridCol w:w="1644"/>
        <w:gridCol w:w="76"/>
      </w:tblGrid>
      <w:tr w:rsidR="00EC5E8B" w:rsidTr="005D170D">
        <w:tc>
          <w:tcPr>
            <w:tcW w:w="486"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p>
        </w:tc>
        <w:tc>
          <w:tcPr>
            <w:tcW w:w="1166"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b/>
                <w:bCs/>
                <w:i/>
                <w:iCs/>
              </w:rPr>
              <w:t>(A</w:t>
            </w:r>
          </w:p>
        </w:tc>
        <w:tc>
          <w:tcPr>
            <w:tcW w:w="779"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b/>
                <w:bCs/>
                <w:i/>
                <w:iCs/>
              </w:rPr>
            </w:pPr>
            <w:r>
              <w:rPr>
                <w:rFonts w:ascii="Times New Roman" w:hAnsi="Times New Roman"/>
                <w:b/>
                <w:bCs/>
                <w:i/>
                <w:iCs/>
              </w:rPr>
              <w:t>B</w:t>
            </w:r>
          </w:p>
        </w:tc>
        <w:tc>
          <w:tcPr>
            <w:tcW w:w="1362"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b/>
                <w:bCs/>
                <w:i/>
                <w:iCs/>
              </w:rPr>
            </w:pPr>
            <w:r>
              <w:rPr>
                <w:rFonts w:ascii="Times New Roman" w:hAnsi="Times New Roman"/>
                <w:b/>
                <w:bCs/>
                <w:i/>
                <w:iCs/>
              </w:rPr>
              <w:t>C</w:t>
            </w:r>
          </w:p>
        </w:tc>
        <w:tc>
          <w:tcPr>
            <w:tcW w:w="1362"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b/>
                <w:bCs/>
                <w:i/>
                <w:iCs/>
              </w:rPr>
            </w:pPr>
            <w:r>
              <w:rPr>
                <w:rFonts w:ascii="Times New Roman" w:hAnsi="Times New Roman"/>
                <w:b/>
                <w:bCs/>
                <w:i/>
                <w:iCs/>
              </w:rPr>
              <w:t>D</w:t>
            </w:r>
          </w:p>
        </w:tc>
        <w:tc>
          <w:tcPr>
            <w:tcW w:w="1557" w:type="dxa"/>
            <w:gridSpan w:val="3"/>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b/>
                <w:bCs/>
                <w:i/>
                <w:iCs/>
              </w:rPr>
            </w:pPr>
            <w:r>
              <w:rPr>
                <w:rFonts w:ascii="Times New Roman" w:hAnsi="Times New Roman"/>
                <w:b/>
                <w:bCs/>
                <w:i/>
                <w:iCs/>
              </w:rPr>
              <w:t>E</w:t>
            </w:r>
          </w:p>
        </w:tc>
        <w:tc>
          <w:tcPr>
            <w:tcW w:w="1362"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b/>
                <w:bCs/>
                <w:i/>
                <w:iCs/>
              </w:rPr>
            </w:pPr>
            <w:r>
              <w:rPr>
                <w:rFonts w:ascii="Times New Roman" w:hAnsi="Times New Roman"/>
                <w:b/>
                <w:bCs/>
                <w:i/>
                <w:iCs/>
              </w:rPr>
              <w:t>F</w:t>
            </w:r>
          </w:p>
        </w:tc>
        <w:tc>
          <w:tcPr>
            <w:tcW w:w="1678"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b/>
                <w:bCs/>
                <w:i/>
                <w:iCs/>
              </w:rPr>
              <w:t>G)</w:t>
            </w:r>
          </w:p>
        </w:tc>
      </w:tr>
      <w:tr w:rsidR="00EC5E8B" w:rsidTr="005D170D">
        <w:tc>
          <w:tcPr>
            <w:tcW w:w="96" w:type="dxa"/>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rPr>
                <w:rFonts w:ascii="Times New Roman" w:hAnsi="Times New Roman"/>
              </w:rPr>
            </w:pPr>
          </w:p>
        </w:tc>
        <w:tc>
          <w:tcPr>
            <w:tcW w:w="973"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rPr>
              <w:t>25</w:t>
            </w:r>
            <w:r>
              <w:rPr>
                <w:rFonts w:ascii="Times New Roman" w:hAnsi="Times New Roman"/>
              </w:rPr>
              <w:br/>
              <w:t>26</w:t>
            </w:r>
          </w:p>
        </w:tc>
        <w:tc>
          <w:tcPr>
            <w:tcW w:w="972"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proofErr w:type="spellStart"/>
            <w:r>
              <w:rPr>
                <w:rFonts w:ascii="Times New Roman" w:hAnsi="Times New Roman"/>
              </w:rPr>
              <w:t>Lke</w:t>
            </w:r>
            <w:proofErr w:type="spellEnd"/>
            <w:r>
              <w:rPr>
                <w:rFonts w:ascii="Times New Roman" w:hAnsi="Times New Roman"/>
              </w:rPr>
              <w:t>-N/5</w:t>
            </w:r>
            <w:r>
              <w:rPr>
                <w:rFonts w:ascii="Times New Roman" w:hAnsi="Times New Roman"/>
              </w:rPr>
              <w:br/>
            </w:r>
            <w:proofErr w:type="spellStart"/>
            <w:r>
              <w:rPr>
                <w:rFonts w:ascii="Times New Roman" w:hAnsi="Times New Roman"/>
              </w:rPr>
              <w:t>Lke</w:t>
            </w:r>
            <w:proofErr w:type="spellEnd"/>
            <w:r>
              <w:rPr>
                <w:rFonts w:ascii="Times New Roman" w:hAnsi="Times New Roman"/>
              </w:rPr>
              <w:t>-N/6</w:t>
            </w:r>
          </w:p>
        </w:tc>
        <w:tc>
          <w:tcPr>
            <w:tcW w:w="1071"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rPr>
              <w:t>SZ</w:t>
            </w:r>
            <w:r>
              <w:rPr>
                <w:rFonts w:ascii="Times New Roman" w:hAnsi="Times New Roman"/>
              </w:rPr>
              <w:br/>
              <w:t>-</w:t>
            </w:r>
          </w:p>
        </w:tc>
        <w:tc>
          <w:tcPr>
            <w:tcW w:w="1362"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rPr>
              <w:t>25</w:t>
            </w:r>
            <w:r>
              <w:rPr>
                <w:rFonts w:ascii="Times New Roman" w:hAnsi="Times New Roman"/>
              </w:rPr>
              <w:br/>
              <w:t>30</w:t>
            </w:r>
          </w:p>
        </w:tc>
        <w:tc>
          <w:tcPr>
            <w:tcW w:w="1070"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rPr>
              <w:t>5000</w:t>
            </w:r>
            <w:r>
              <w:rPr>
                <w:rFonts w:ascii="Times New Roman" w:hAnsi="Times New Roman"/>
              </w:rPr>
              <w:br/>
              <w:t>2000</w:t>
            </w:r>
          </w:p>
        </w:tc>
        <w:tc>
          <w:tcPr>
            <w:tcW w:w="779" w:type="dxa"/>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rPr>
              <w:t>5,5</w:t>
            </w:r>
            <w:r>
              <w:rPr>
                <w:rFonts w:ascii="Times New Roman" w:hAnsi="Times New Roman"/>
              </w:rPr>
              <w:br/>
              <w:t>5,5</w:t>
            </w:r>
          </w:p>
        </w:tc>
        <w:tc>
          <w:tcPr>
            <w:tcW w:w="1070"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rPr>
              <w:t>50</w:t>
            </w:r>
            <w:r>
              <w:rPr>
                <w:rFonts w:ascii="Times New Roman" w:hAnsi="Times New Roman"/>
              </w:rPr>
              <w:br/>
              <w:t>50</w:t>
            </w:r>
          </w:p>
        </w:tc>
        <w:tc>
          <w:tcPr>
            <w:tcW w:w="2334"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r>
              <w:rPr>
                <w:rFonts w:ascii="Times New Roman" w:hAnsi="Times New Roman"/>
              </w:rPr>
              <w:t>0,6</w:t>
            </w:r>
            <w:r>
              <w:rPr>
                <w:rFonts w:ascii="Times New Roman" w:hAnsi="Times New Roman"/>
              </w:rPr>
              <w:br/>
              <w:t>0,5</w:t>
            </w:r>
          </w:p>
        </w:tc>
        <w:tc>
          <w:tcPr>
            <w:tcW w:w="25" w:type="dxa"/>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rPr>
                <w:rFonts w:ascii="Times New Roman" w:hAnsi="Times New Roman"/>
              </w:rPr>
            </w:pPr>
          </w:p>
        </w:tc>
      </w:tr>
      <w:tr w:rsidR="00EC5E8B" w:rsidTr="005D170D">
        <w:tc>
          <w:tcPr>
            <w:tcW w:w="96" w:type="dxa"/>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rPr>
                <w:rFonts w:ascii="Times New Roman" w:hAnsi="Times New Roman"/>
              </w:rPr>
            </w:pPr>
          </w:p>
        </w:tc>
        <w:tc>
          <w:tcPr>
            <w:tcW w:w="973" w:type="dxa"/>
            <w:gridSpan w:val="2"/>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rPr>
            </w:pPr>
          </w:p>
        </w:tc>
        <w:tc>
          <w:tcPr>
            <w:tcW w:w="8658" w:type="dxa"/>
            <w:gridSpan w:val="13"/>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jc w:val="center"/>
              <w:rPr>
                <w:rFonts w:ascii="Times New Roman" w:hAnsi="Times New Roman"/>
                <w:b/>
                <w:bCs/>
              </w:rPr>
            </w:pPr>
            <w:r>
              <w:rPr>
                <w:rFonts w:ascii="Times New Roman" w:hAnsi="Times New Roman"/>
                <w:b/>
                <w:bCs/>
              </w:rPr>
              <w:t>ALAPINTÉZMÉNYI</w:t>
            </w:r>
          </w:p>
        </w:tc>
        <w:tc>
          <w:tcPr>
            <w:tcW w:w="25" w:type="dxa"/>
            <w:tcBorders>
              <w:top w:val="single" w:sz="6" w:space="0" w:color="000000"/>
              <w:left w:val="single" w:sz="6" w:space="0" w:color="000000"/>
              <w:bottom w:val="single" w:sz="6" w:space="0" w:color="000000"/>
              <w:right w:val="single" w:sz="6" w:space="0" w:color="000000"/>
            </w:tcBorders>
          </w:tcPr>
          <w:p w:rsidR="00EC5E8B" w:rsidRDefault="00EC5E8B" w:rsidP="005D170D">
            <w:pPr>
              <w:pStyle w:val="Szvegtrzs"/>
              <w:spacing w:after="0" w:line="240" w:lineRule="auto"/>
              <w:rPr>
                <w:rFonts w:ascii="Times New Roman" w:hAnsi="Times New Roman"/>
              </w:rPr>
            </w:pPr>
          </w:p>
        </w:tc>
      </w:tr>
    </w:tbl>
    <w:p w:rsidR="00EC5E8B" w:rsidRDefault="00EC5E8B" w:rsidP="00EC5E8B">
      <w:pPr>
        <w:jc w:val="right"/>
        <w:rPr>
          <w:rFonts w:ascii="Times New Roman" w:hAnsi="Times New Roman"/>
        </w:rPr>
        <w:sectPr w:rsidR="00EC5E8B">
          <w:headerReference w:type="even" r:id="rId11"/>
          <w:headerReference w:type="default" r:id="rId12"/>
          <w:footerReference w:type="even" r:id="rId13"/>
          <w:footerReference w:type="default" r:id="rId14"/>
          <w:headerReference w:type="first" r:id="rId15"/>
          <w:footerReference w:type="first" r:id="rId16"/>
          <w:pgSz w:w="11906" w:h="16668"/>
          <w:pgMar w:top="899" w:right="1077" w:bottom="1525" w:left="1077" w:header="340" w:footer="794" w:gutter="0"/>
          <w:cols w:space="708"/>
          <w:formProt w:val="0"/>
          <w:titlePg/>
          <w:docGrid w:linePitch="600" w:charSpace="32768"/>
        </w:sectPr>
      </w:pPr>
      <w:r>
        <w:rPr>
          <w:rFonts w:ascii="Times New Roman" w:hAnsi="Times New Roman"/>
        </w:rPr>
        <w:t>”</w:t>
      </w:r>
    </w:p>
    <w:p w:rsidR="00EC5E8B" w:rsidRDefault="00EC5E8B" w:rsidP="00EC5E8B">
      <w:pPr>
        <w:jc w:val="both"/>
        <w:rPr>
          <w:rFonts w:ascii="Times New Roman" w:hAnsi="Times New Roman"/>
        </w:rPr>
      </w:pPr>
      <w:r>
        <w:rPr>
          <w:rFonts w:ascii="Times New Roman" w:hAnsi="Times New Roman"/>
        </w:rPr>
        <w:lastRenderedPageBreak/>
        <w:t> </w:t>
      </w:r>
    </w:p>
    <w:p w:rsidR="00EC5E8B" w:rsidRDefault="00EC5E8B" w:rsidP="00EC5E8B">
      <w:pPr>
        <w:pStyle w:val="Szvegtrzs"/>
        <w:spacing w:line="240" w:lineRule="auto"/>
        <w:jc w:val="right"/>
        <w:rPr>
          <w:rFonts w:ascii="Times New Roman" w:hAnsi="Times New Roman"/>
          <w:i/>
          <w:iCs/>
          <w:u w:val="single"/>
        </w:rPr>
      </w:pPr>
      <w:r>
        <w:rPr>
          <w:rFonts w:ascii="Times New Roman" w:hAnsi="Times New Roman"/>
          <w:i/>
          <w:iCs/>
          <w:u w:val="single"/>
        </w:rPr>
        <w:t xml:space="preserve">2. melléklet </w:t>
      </w:r>
      <w:proofErr w:type="gramStart"/>
      <w:r>
        <w:rPr>
          <w:rFonts w:ascii="Times New Roman" w:hAnsi="Times New Roman"/>
          <w:i/>
          <w:iCs/>
          <w:u w:val="single"/>
        </w:rPr>
        <w:t>az ..</w:t>
      </w:r>
      <w:proofErr w:type="gramEnd"/>
      <w:r>
        <w:rPr>
          <w:rFonts w:ascii="Times New Roman" w:hAnsi="Times New Roman"/>
          <w:i/>
          <w:iCs/>
          <w:u w:val="single"/>
        </w:rPr>
        <w:t>./... . (.</w:t>
      </w:r>
      <w:proofErr w:type="gramStart"/>
      <w:r>
        <w:rPr>
          <w:rFonts w:ascii="Times New Roman" w:hAnsi="Times New Roman"/>
          <w:i/>
          <w:iCs/>
          <w:u w:val="single"/>
        </w:rPr>
        <w:t>..</w:t>
      </w:r>
      <w:proofErr w:type="gramEnd"/>
      <w:r>
        <w:rPr>
          <w:rFonts w:ascii="Times New Roman" w:hAnsi="Times New Roman"/>
          <w:i/>
          <w:iCs/>
          <w:u w:val="single"/>
        </w:rPr>
        <w:t xml:space="preserve"> </w:t>
      </w:r>
      <w:proofErr w:type="gramStart"/>
      <w:r>
        <w:rPr>
          <w:rFonts w:ascii="Times New Roman" w:hAnsi="Times New Roman"/>
          <w:i/>
          <w:iCs/>
          <w:u w:val="single"/>
        </w:rPr>
        <w:t>. ..</w:t>
      </w:r>
      <w:proofErr w:type="gramEnd"/>
      <w:r>
        <w:rPr>
          <w:rFonts w:ascii="Times New Roman" w:hAnsi="Times New Roman"/>
          <w:i/>
          <w:iCs/>
          <w:u w:val="single"/>
        </w:rPr>
        <w:t xml:space="preserve">. </w:t>
      </w:r>
      <w:proofErr w:type="gramStart"/>
      <w:r>
        <w:rPr>
          <w:rFonts w:ascii="Times New Roman" w:hAnsi="Times New Roman"/>
          <w:i/>
          <w:iCs/>
          <w:u w:val="single"/>
        </w:rPr>
        <w:t>.</w:t>
      </w:r>
      <w:proofErr w:type="gramEnd"/>
      <w:r>
        <w:rPr>
          <w:rFonts w:ascii="Times New Roman" w:hAnsi="Times New Roman"/>
          <w:i/>
          <w:iCs/>
          <w:u w:val="single"/>
        </w:rPr>
        <w:t>) önkormányzati rendelethez</w:t>
      </w:r>
    </w:p>
    <w:p w:rsidR="00EC5E8B" w:rsidRDefault="00EC5E8B" w:rsidP="00EC5E8B">
      <w:pPr>
        <w:pStyle w:val="Szvegtrzs"/>
        <w:spacing w:before="240" w:after="0" w:line="240" w:lineRule="auto"/>
        <w:jc w:val="both"/>
        <w:rPr>
          <w:rFonts w:ascii="Times New Roman" w:hAnsi="Times New Roman"/>
        </w:rPr>
      </w:pPr>
      <w:r>
        <w:rPr>
          <w:rFonts w:ascii="Times New Roman" w:hAnsi="Times New Roman"/>
        </w:rPr>
        <w:t>„</w:t>
      </w:r>
      <w:r>
        <w:rPr>
          <w:rFonts w:ascii="Times New Roman" w:hAnsi="Times New Roman"/>
          <w:i/>
          <w:iCs/>
        </w:rPr>
        <w:t>1. melléklet a 6/2018. (V. 31.) önkormányzati rendelethez a 6/2018. (V. 31.) önkormányzati rendelethez</w:t>
      </w:r>
    </w:p>
    <w:p w:rsidR="00EC5E8B" w:rsidRDefault="00EC5E8B" w:rsidP="00EC5E8B">
      <w:pPr>
        <w:pStyle w:val="Szvegtrzs"/>
        <w:spacing w:line="240" w:lineRule="auto"/>
        <w:jc w:val="both"/>
        <w:rPr>
          <w:rFonts w:ascii="Times New Roman" w:hAnsi="Times New Roman"/>
        </w:rPr>
        <w:sectPr w:rsidR="00EC5E8B">
          <w:headerReference w:type="even" r:id="rId17"/>
          <w:headerReference w:type="default" r:id="rId18"/>
          <w:footerReference w:type="even" r:id="rId19"/>
          <w:footerReference w:type="default" r:id="rId20"/>
          <w:headerReference w:type="first" r:id="rId21"/>
          <w:footerReference w:type="first" r:id="rId22"/>
          <w:pgSz w:w="11906" w:h="16668"/>
          <w:pgMar w:top="899" w:right="1077" w:bottom="1525" w:left="1077" w:header="340" w:footer="794" w:gutter="0"/>
          <w:cols w:space="708"/>
          <w:formProt w:val="0"/>
          <w:titlePg/>
          <w:docGrid w:linePitch="600" w:charSpace="32768"/>
        </w:sectPr>
      </w:pPr>
      <w:r>
        <w:rPr>
          <w:rFonts w:ascii="Times New Roman" w:hAnsi="Times New Roman"/>
        </w:rPr>
        <w:t xml:space="preserve">(A melléklet szövegét a(z) HÉSZ 1. melléklet.pdf elnevezésű </w:t>
      </w:r>
      <w:proofErr w:type="gramStart"/>
      <w:r>
        <w:rPr>
          <w:rFonts w:ascii="Times New Roman" w:hAnsi="Times New Roman"/>
        </w:rPr>
        <w:t>fájl</w:t>
      </w:r>
      <w:proofErr w:type="gramEnd"/>
      <w:r>
        <w:rPr>
          <w:rFonts w:ascii="Times New Roman" w:hAnsi="Times New Roman"/>
        </w:rPr>
        <w:t xml:space="preserve"> tartalmazza.)”</w:t>
      </w:r>
    </w:p>
    <w:p w:rsidR="00EC5E8B" w:rsidRDefault="00EC5E8B" w:rsidP="00EC5E8B">
      <w:pPr>
        <w:pStyle w:val="Szvegtrzs"/>
        <w:spacing w:after="0"/>
        <w:jc w:val="center"/>
      </w:pPr>
    </w:p>
    <w:p w:rsidR="00EC5E8B" w:rsidRDefault="00EC5E8B" w:rsidP="00EC5E8B">
      <w:pPr>
        <w:pStyle w:val="Szvegtrzs"/>
        <w:spacing w:after="150" w:line="240" w:lineRule="auto"/>
        <w:ind w:left="150" w:right="150"/>
        <w:jc w:val="center"/>
      </w:pPr>
      <w:r>
        <w:t>Végső előterjesztői indokolás</w:t>
      </w:r>
    </w:p>
    <w:p w:rsidR="00EC5E8B" w:rsidRDefault="00EC5E8B" w:rsidP="00EC5E8B">
      <w:pPr>
        <w:pStyle w:val="Szvegtrzs"/>
        <w:spacing w:after="160" w:line="240" w:lineRule="auto"/>
        <w:jc w:val="both"/>
      </w:pPr>
      <w:r>
        <w:t>Dunakeszi Város Önkormányzat Képviselő-testülete 39/2026. (II.26.) sz. határozatában a</w:t>
      </w:r>
      <w:r>
        <w:br/>
        <w:t xml:space="preserve">6/2018. (V.31.) sz. rendelettel elfogadott Dunakeszi Város Helyi Építési Szabályzat és Szabályozási Terv soron kívüli módosításáról döntött a 6052, 6053 </w:t>
      </w:r>
      <w:proofErr w:type="spellStart"/>
      <w:r>
        <w:t>hrsz</w:t>
      </w:r>
      <w:proofErr w:type="spellEnd"/>
      <w:r>
        <w:t>-ú ingaltanok tekintetében.</w:t>
      </w:r>
    </w:p>
    <w:p w:rsidR="006D3EA5" w:rsidRDefault="00EC5E8B">
      <w:bookmarkStart w:id="0" w:name="_GoBack"/>
      <w:bookmarkEnd w:id="0"/>
    </w:p>
    <w:sectPr w:rsidR="006D3EA5">
      <w:headerReference w:type="even" r:id="rId23"/>
      <w:headerReference w:type="default" r:id="rId24"/>
      <w:footerReference w:type="even" r:id="rId25"/>
      <w:footerReference w:type="default" r:id="rId26"/>
      <w:headerReference w:type="first" r:id="rId27"/>
      <w:footerReference w:type="first" r:id="rId28"/>
      <w:pgSz w:w="11906" w:h="16668"/>
      <w:pgMar w:top="899" w:right="1077" w:bottom="1525" w:left="1077" w:header="340" w:footer="794" w:gutter="0"/>
      <w:cols w:space="708"/>
      <w:formProt w:val="0"/>
      <w:titlePg/>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4</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rPr>
        <w:noProof/>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lb"/>
      <w:jc w:val="center"/>
    </w:pPr>
    <w:r>
      <w:fldChar w:fldCharType="begin"/>
    </w:r>
    <w:r>
      <w:instrText>PAGE</w:instrText>
    </w:r>
    <w:r>
      <w:fldChar w:fldCharType="separate"/>
    </w:r>
    <w:r>
      <w:rPr>
        <w:noProof/>
      </w:rPr>
      <w:t>3</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fej"/>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fej"/>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Head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17" w:type="dxa"/>
      <w:jc w:val="right"/>
      <w:tblLayout w:type="fixed"/>
      <w:tblCellMar>
        <w:top w:w="28" w:type="dxa"/>
        <w:left w:w="28" w:type="dxa"/>
        <w:bottom w:w="28" w:type="dxa"/>
        <w:right w:w="28" w:type="dxa"/>
      </w:tblCellMar>
      <w:tblLook w:val="0000" w:firstRow="0" w:lastRow="0" w:firstColumn="0" w:lastColumn="0" w:noHBand="0" w:noVBand="0"/>
    </w:tblPr>
    <w:tblGrid>
      <w:gridCol w:w="5883"/>
      <w:gridCol w:w="1034"/>
    </w:tblGrid>
    <w:tr w:rsidR="00883D77">
      <w:trPr>
        <w:cantSplit/>
        <w:jc w:val="right"/>
      </w:trPr>
      <w:tc>
        <w:tcPr>
          <w:tcW w:w="5883" w:type="dxa"/>
          <w:tcBorders>
            <w:top w:val="single" w:sz="2" w:space="0" w:color="000000"/>
            <w:left w:val="single" w:sz="2" w:space="0" w:color="000000"/>
            <w:bottom w:val="single" w:sz="2" w:space="0" w:color="000000"/>
          </w:tcBorders>
        </w:tcPr>
        <w:p w:rsidR="00883D77" w:rsidRDefault="00EC5E8B">
          <w:pPr>
            <w:pStyle w:val="TableContents"/>
            <w:pageBreakBefore/>
            <w:rPr>
              <w:rFonts w:ascii="Times New Roman" w:hAnsi="Times New Roman"/>
              <w:color w:val="808080"/>
              <w:sz w:val="20"/>
              <w:szCs w:val="20"/>
            </w:rPr>
          </w:pPr>
          <w:r>
            <w:rPr>
              <w:rFonts w:ascii="Times New Roman" w:hAnsi="Times New Roman"/>
              <w:color w:val="808080"/>
              <w:sz w:val="20"/>
              <w:szCs w:val="20"/>
            </w:rPr>
            <w:t>Az iromány az Integrált Jogalkotási Rendszerben készült.</w:t>
          </w:r>
        </w:p>
        <w:p w:rsidR="00883D77" w:rsidRDefault="00EC5E8B">
          <w:pPr>
            <w:pStyle w:val="TableContents"/>
            <w:rPr>
              <w:rFonts w:ascii="Times New Roman" w:hAnsi="Times New Roman"/>
              <w:color w:val="808080"/>
              <w:sz w:val="20"/>
              <w:szCs w:val="20"/>
            </w:rPr>
          </w:pPr>
          <w:r>
            <w:rPr>
              <w:rFonts w:ascii="Times New Roman" w:hAnsi="Times New Roman"/>
              <w:color w:val="808080"/>
              <w:sz w:val="20"/>
              <w:szCs w:val="20"/>
            </w:rPr>
            <w:t xml:space="preserve">IJR </w:t>
          </w:r>
          <w:r>
            <w:rPr>
              <w:rFonts w:ascii="Times New Roman" w:hAnsi="Times New Roman"/>
              <w:color w:val="808080"/>
              <w:sz w:val="20"/>
              <w:szCs w:val="20"/>
            </w:rPr>
            <w:t>azonosító: LL-124299270-1</w:t>
          </w:r>
        </w:p>
        <w:p w:rsidR="00883D77" w:rsidRDefault="00EC5E8B">
          <w:pPr>
            <w:pStyle w:val="TableContents"/>
            <w:rPr>
              <w:rFonts w:ascii="Times New Roman" w:hAnsi="Times New Roman"/>
              <w:color w:val="808080"/>
              <w:sz w:val="20"/>
              <w:szCs w:val="20"/>
            </w:rPr>
          </w:pPr>
          <w:r>
            <w:rPr>
              <w:rFonts w:ascii="Times New Roman" w:hAnsi="Times New Roman"/>
              <w:color w:val="808080"/>
              <w:sz w:val="20"/>
              <w:szCs w:val="20"/>
            </w:rPr>
            <w:t>Készült: 2026.07.16. 10:23</w:t>
          </w:r>
        </w:p>
        <w:p w:rsidR="00883D77" w:rsidRDefault="00EC5E8B">
          <w:pPr>
            <w:pStyle w:val="TableContents"/>
            <w:rPr>
              <w:rFonts w:ascii="Times New Roman" w:hAnsi="Times New Roman"/>
              <w:sz w:val="20"/>
              <w:szCs w:val="20"/>
            </w:rPr>
          </w:pPr>
          <w:r>
            <w:rPr>
              <w:rFonts w:ascii="Times New Roman" w:hAnsi="Times New Roman"/>
              <w:color w:val="808080"/>
              <w:sz w:val="20"/>
              <w:szCs w:val="20"/>
            </w:rPr>
            <w:t>Nyomtatta:</w:t>
          </w:r>
          <w:r>
            <w:rPr>
              <w:rFonts w:ascii="Times New Roman" w:hAnsi="Times New Roman"/>
              <w:sz w:val="20"/>
              <w:szCs w:val="20"/>
            </w:rPr>
            <w:t xml:space="preserve"> </w:t>
          </w:r>
          <w:r>
            <w:rPr>
              <w:rFonts w:ascii="Times New Roman" w:hAnsi="Times New Roman"/>
              <w:noProof/>
              <w:color w:val="808080"/>
              <w:sz w:val="20"/>
              <w:szCs w:val="20"/>
              <w:lang w:eastAsia="hu-HU" w:bidi="ar-SA"/>
            </w:rPr>
            <w:drawing>
              <wp:anchor distT="0" distB="0" distL="0" distR="0" simplePos="0" relativeHeight="251659264" behindDoc="0" locked="0" layoutInCell="0" allowOverlap="1" wp14:anchorId="71ED23F9" wp14:editId="318A0C75">
                <wp:simplePos x="0" y="0"/>
                <wp:positionH relativeFrom="column">
                  <wp:posOffset>3742690</wp:posOffset>
                </wp:positionH>
                <wp:positionV relativeFrom="paragraph">
                  <wp:posOffset>-443865</wp:posOffset>
                </wp:positionV>
                <wp:extent cx="603885" cy="598170"/>
                <wp:effectExtent l="0" t="0" r="0" b="0"/>
                <wp:wrapNone/>
                <wp:docPr id="2" name="QR-kó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kód"/>
                        <pic:cNvPicPr>
                          <a:picLocks noChangeAspect="1" noChangeArrowheads="1"/>
                        </pic:cNvPicPr>
                      </pic:nvPicPr>
                      <pic:blipFill>
                        <a:blip r:embed="rId1"/>
                        <a:stretch>
                          <a:fillRect/>
                        </a:stretch>
                      </pic:blipFill>
                      <pic:spPr bwMode="auto">
                        <a:xfrm>
                          <a:off x="0" y="0"/>
                          <a:ext cx="603885" cy="598170"/>
                        </a:xfrm>
                        <a:prstGeom prst="rect">
                          <a:avLst/>
                        </a:prstGeom>
                      </pic:spPr>
                    </pic:pic>
                  </a:graphicData>
                </a:graphic>
              </wp:anchor>
            </w:drawing>
          </w:r>
          <w:r>
            <w:rPr>
              <w:rFonts w:ascii="Times New Roman" w:hAnsi="Times New Roman"/>
              <w:color w:val="808080"/>
              <w:sz w:val="20"/>
              <w:szCs w:val="20"/>
            </w:rPr>
            <w:t>dr. Hegedűs Éva</w:t>
          </w:r>
        </w:p>
      </w:tc>
      <w:tc>
        <w:tcPr>
          <w:tcW w:w="1034" w:type="dxa"/>
          <w:tcBorders>
            <w:top w:val="single" w:sz="2" w:space="0" w:color="000000"/>
            <w:left w:val="single" w:sz="2" w:space="0" w:color="000000"/>
            <w:bottom w:val="single" w:sz="2" w:space="0" w:color="000000"/>
            <w:right w:val="single" w:sz="2" w:space="0" w:color="000000"/>
          </w:tcBorders>
        </w:tcPr>
        <w:p w:rsidR="00883D77" w:rsidRDefault="00EC5E8B">
          <w:pPr>
            <w:pStyle w:val="TableContents"/>
          </w:pPr>
        </w:p>
      </w:tc>
    </w:tr>
  </w:tbl>
  <w:p w:rsidR="00883D77" w:rsidRDefault="00EC5E8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fej"/>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fej"/>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HeaderLef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fej"/>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lfej"/>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EC5E8B">
    <w:pPr>
      <w:pStyle w:val="Header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98F"/>
    <w:rsid w:val="00046F8B"/>
    <w:rsid w:val="00BE6DBD"/>
    <w:rsid w:val="00EC5E8B"/>
    <w:rsid w:val="00EF298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D9C91-8B07-4AAC-9D53-0B4B7DF0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C5E8B"/>
    <w:pPr>
      <w:suppressAutoHyphens/>
      <w:spacing w:after="0" w:line="240" w:lineRule="auto"/>
    </w:pPr>
    <w:rPr>
      <w:rFonts w:ascii="Liberation Serif" w:eastAsia="Noto Serif CJK SC" w:hAnsi="Liberation Serif" w:cs="Lohit Devanagari"/>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EC5E8B"/>
    <w:pPr>
      <w:spacing w:after="140" w:line="276" w:lineRule="auto"/>
    </w:pPr>
  </w:style>
  <w:style w:type="character" w:customStyle="1" w:styleId="SzvegtrzsChar">
    <w:name w:val="Szövegtörzs Char"/>
    <w:basedOn w:val="Bekezdsalapbettpusa"/>
    <w:link w:val="Szvegtrzs"/>
    <w:rsid w:val="00EC5E8B"/>
    <w:rPr>
      <w:rFonts w:ascii="Liberation Serif" w:eastAsia="Noto Serif CJK SC" w:hAnsi="Liberation Serif" w:cs="Lohit Devanagari"/>
      <w:kern w:val="2"/>
      <w:sz w:val="24"/>
      <w:szCs w:val="24"/>
      <w:lang w:eastAsia="zh-CN" w:bidi="hi-IN"/>
    </w:rPr>
  </w:style>
  <w:style w:type="paragraph" w:styleId="lfej">
    <w:name w:val="header"/>
    <w:basedOn w:val="Norml"/>
    <w:link w:val="lfejChar"/>
    <w:rsid w:val="00EC5E8B"/>
    <w:pPr>
      <w:suppressLineNumbers/>
      <w:tabs>
        <w:tab w:val="center" w:pos="4819"/>
        <w:tab w:val="right" w:pos="9638"/>
      </w:tabs>
    </w:pPr>
  </w:style>
  <w:style w:type="character" w:customStyle="1" w:styleId="lfejChar">
    <w:name w:val="Élőfej Char"/>
    <w:basedOn w:val="Bekezdsalapbettpusa"/>
    <w:link w:val="lfej"/>
    <w:rsid w:val="00EC5E8B"/>
    <w:rPr>
      <w:rFonts w:ascii="Liberation Serif" w:eastAsia="Noto Serif CJK SC" w:hAnsi="Liberation Serif" w:cs="Lohit Devanagari"/>
      <w:kern w:val="2"/>
      <w:sz w:val="24"/>
      <w:szCs w:val="24"/>
      <w:lang w:eastAsia="zh-CN" w:bidi="hi-IN"/>
    </w:rPr>
  </w:style>
  <w:style w:type="paragraph" w:customStyle="1" w:styleId="TableContents">
    <w:name w:val="Table Contents"/>
    <w:basedOn w:val="Norml"/>
    <w:qFormat/>
    <w:rsid w:val="00EC5E8B"/>
    <w:pPr>
      <w:suppressLineNumbers/>
    </w:pPr>
  </w:style>
  <w:style w:type="paragraph" w:styleId="llb">
    <w:name w:val="footer"/>
    <w:basedOn w:val="Norml"/>
    <w:link w:val="llbChar"/>
    <w:rsid w:val="00EC5E8B"/>
    <w:pPr>
      <w:suppressLineNumbers/>
      <w:tabs>
        <w:tab w:val="center" w:pos="4819"/>
        <w:tab w:val="right" w:pos="9638"/>
      </w:tabs>
    </w:pPr>
  </w:style>
  <w:style w:type="character" w:customStyle="1" w:styleId="llbChar">
    <w:name w:val="Élőláb Char"/>
    <w:basedOn w:val="Bekezdsalapbettpusa"/>
    <w:link w:val="llb"/>
    <w:rsid w:val="00EC5E8B"/>
    <w:rPr>
      <w:rFonts w:ascii="Liberation Serif" w:eastAsia="Noto Serif CJK SC" w:hAnsi="Liberation Serif" w:cs="Lohit Devanagari"/>
      <w:kern w:val="2"/>
      <w:sz w:val="24"/>
      <w:szCs w:val="24"/>
      <w:lang w:eastAsia="zh-CN" w:bidi="hi-IN"/>
    </w:rPr>
  </w:style>
  <w:style w:type="paragraph" w:customStyle="1" w:styleId="HeaderLeft">
    <w:name w:val="Header Left"/>
    <w:basedOn w:val="lfej"/>
    <w:qFormat/>
    <w:rsid w:val="00EC5E8B"/>
    <w:pPr>
      <w:tabs>
        <w:tab w:val="clear" w:pos="4819"/>
        <w:tab w:val="clear" w:pos="9638"/>
        <w:tab w:val="center" w:pos="4876"/>
        <w:tab w:val="right" w:pos="975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header" Target="header8.xml"/><Relationship Id="rId26" Type="http://schemas.openxmlformats.org/officeDocument/2006/relationships/footer" Target="footer11.xm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footer" Target="footer10.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header" Target="header4.xml"/><Relationship Id="rId24" Type="http://schemas.openxmlformats.org/officeDocument/2006/relationships/header" Target="header11.xml"/><Relationship Id="rId5" Type="http://schemas.openxmlformats.org/officeDocument/2006/relationships/header" Target="header1.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12.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image" Target="media/image1.png"/><Relationship Id="rId9" Type="http://schemas.openxmlformats.org/officeDocument/2006/relationships/header" Target="header3.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12.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500</Words>
  <Characters>3450</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2026-07-17T05:26:00Z</dcterms:created>
  <dcterms:modified xsi:type="dcterms:W3CDTF">2026-07-17T05:30:00Z</dcterms:modified>
</cp:coreProperties>
</file>